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591B" w14:textId="273F0DB6" w:rsidR="00C92D32" w:rsidRPr="00576AE0" w:rsidRDefault="00576AE0">
      <w:pPr>
        <w:rPr>
          <w:i/>
          <w:iCs/>
        </w:rPr>
      </w:pPr>
      <w:r w:rsidRPr="00576AE0">
        <w:rPr>
          <w:i/>
          <w:iCs/>
        </w:rPr>
        <w:t>22. Februar</w:t>
      </w:r>
      <w:r w:rsidR="00C92D32" w:rsidRPr="00576AE0">
        <w:rPr>
          <w:i/>
          <w:iCs/>
        </w:rPr>
        <w:t xml:space="preserve"> 202</w:t>
      </w:r>
      <w:r w:rsidR="0092615F" w:rsidRPr="00576AE0">
        <w:rPr>
          <w:i/>
          <w:iCs/>
        </w:rPr>
        <w:t>4</w:t>
      </w:r>
    </w:p>
    <w:p w14:paraId="2D1850B1" w14:textId="62DC0E89" w:rsidR="00AC3DBA" w:rsidRPr="00AC3DBA" w:rsidRDefault="00A1538F" w:rsidP="004D64BF">
      <w:pPr>
        <w:rPr>
          <w:b/>
          <w:bCs/>
          <w:sz w:val="28"/>
          <w:szCs w:val="28"/>
        </w:rPr>
      </w:pPr>
      <w:r>
        <w:rPr>
          <w:b/>
          <w:bCs/>
          <w:sz w:val="28"/>
          <w:szCs w:val="28"/>
        </w:rPr>
        <w:t xml:space="preserve">Kleine und große </w:t>
      </w:r>
      <w:r w:rsidR="002511DC">
        <w:rPr>
          <w:b/>
          <w:bCs/>
          <w:sz w:val="28"/>
          <w:szCs w:val="28"/>
        </w:rPr>
        <w:t>Kohlendioxidmengen plastisch veranschaulichen</w:t>
      </w:r>
    </w:p>
    <w:p w14:paraId="4F058F52" w14:textId="764BF3FE" w:rsidR="006310C0" w:rsidRDefault="006310C0"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Pr>
          <w:rFonts w:asciiTheme="minorHAnsi" w:hAnsiTheme="minorHAnsi" w:cstheme="minorHAnsi"/>
          <w:color w:val="333333"/>
          <w:sz w:val="22"/>
          <w:szCs w:val="22"/>
        </w:rPr>
        <w:br/>
      </w:r>
      <w:r>
        <w:rPr>
          <w:noProof/>
          <w:color w:val="FF0000"/>
        </w:rPr>
        <w:drawing>
          <wp:inline distT="0" distB="0" distL="0" distR="0" wp14:anchorId="5ADC535A" wp14:editId="251B8A02">
            <wp:extent cx="5760720" cy="3651250"/>
            <wp:effectExtent l="0" t="0" r="0" b="6350"/>
            <wp:docPr id="115903877" name="Grafik 2" descr="Ein Bild, das draußen, Himmel, Landschaft,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7" name="Grafik 2" descr="Ein Bild, das draußen, Himmel, Landschaft, Natu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51250"/>
                    </a:xfrm>
                    <a:prstGeom prst="rect">
                      <a:avLst/>
                    </a:prstGeom>
                  </pic:spPr>
                </pic:pic>
              </a:graphicData>
            </a:graphic>
          </wp:inline>
        </w:drawing>
      </w:r>
      <w:r>
        <w:rPr>
          <w:rFonts w:asciiTheme="minorHAnsi" w:hAnsiTheme="minorHAnsi" w:cstheme="minorHAnsi"/>
          <w:color w:val="333333"/>
          <w:sz w:val="22"/>
          <w:szCs w:val="22"/>
        </w:rPr>
        <w:br/>
      </w:r>
    </w:p>
    <w:p w14:paraId="561373CC" w14:textId="04E136F2" w:rsidR="00F908E9" w:rsidRPr="00D05935" w:rsidRDefault="00F908E9"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sidRPr="00D05935">
        <w:rPr>
          <w:rFonts w:asciiTheme="minorHAnsi" w:hAnsiTheme="minorHAnsi" w:cstheme="minorHAnsi"/>
          <w:color w:val="333333"/>
          <w:sz w:val="22"/>
          <w:szCs w:val="22"/>
        </w:rPr>
        <w:t>Täglich hört und liest man von Kohlendioxid-Emissionen und CO</w:t>
      </w:r>
      <w:r w:rsidRPr="00D05935">
        <w:rPr>
          <w:rFonts w:asciiTheme="minorHAnsi" w:hAnsiTheme="minorHAnsi" w:cstheme="minorHAnsi"/>
          <w:color w:val="333333"/>
          <w:sz w:val="22"/>
          <w:szCs w:val="22"/>
          <w:bdr w:val="none" w:sz="0" w:space="0" w:color="auto" w:frame="1"/>
          <w:vertAlign w:val="subscript"/>
        </w:rPr>
        <w:t>2</w:t>
      </w:r>
      <w:r w:rsidRPr="00D05935">
        <w:rPr>
          <w:rFonts w:asciiTheme="minorHAnsi" w:hAnsiTheme="minorHAnsi" w:cstheme="minorHAnsi"/>
          <w:color w:val="333333"/>
          <w:sz w:val="22"/>
          <w:szCs w:val="22"/>
        </w:rPr>
        <w:t>-Einsparungen, dabei werden die Gasmengen in Kilogramm oder Tonnen angegeben. Das ist aus fachlicher Sicht zwar richtig, doch viele Menschen können sich darunter kaum etwas vorstellen. Zwei Methoden zeigen, wie sich CO</w:t>
      </w:r>
      <w:r w:rsidRPr="00D05935">
        <w:rPr>
          <w:rFonts w:asciiTheme="minorHAnsi" w:hAnsiTheme="minorHAnsi" w:cstheme="minorHAnsi"/>
          <w:color w:val="333333"/>
          <w:sz w:val="22"/>
          <w:szCs w:val="22"/>
          <w:bdr w:val="none" w:sz="0" w:space="0" w:color="auto" w:frame="1"/>
          <w:vertAlign w:val="subscript"/>
        </w:rPr>
        <w:t>2</w:t>
      </w:r>
      <w:r w:rsidRPr="00D05935">
        <w:rPr>
          <w:rFonts w:asciiTheme="minorHAnsi" w:hAnsiTheme="minorHAnsi" w:cstheme="minorHAnsi"/>
          <w:color w:val="333333"/>
          <w:sz w:val="22"/>
          <w:szCs w:val="22"/>
        </w:rPr>
        <w:t>-Mengen auf verständliche</w:t>
      </w:r>
      <w:r w:rsidR="00A1538F">
        <w:rPr>
          <w:rFonts w:asciiTheme="minorHAnsi" w:hAnsiTheme="minorHAnsi" w:cstheme="minorHAnsi"/>
          <w:color w:val="333333"/>
          <w:sz w:val="22"/>
          <w:szCs w:val="22"/>
        </w:rPr>
        <w:t>,</w:t>
      </w:r>
      <w:r w:rsidRPr="00D05935">
        <w:rPr>
          <w:rFonts w:asciiTheme="minorHAnsi" w:hAnsiTheme="minorHAnsi" w:cstheme="minorHAnsi"/>
          <w:color w:val="333333"/>
          <w:sz w:val="22"/>
          <w:szCs w:val="22"/>
        </w:rPr>
        <w:t xml:space="preserve"> </w:t>
      </w:r>
      <w:r w:rsidR="00A1538F">
        <w:rPr>
          <w:rFonts w:asciiTheme="minorHAnsi" w:hAnsiTheme="minorHAnsi" w:cstheme="minorHAnsi"/>
          <w:color w:val="333333"/>
          <w:sz w:val="22"/>
          <w:szCs w:val="22"/>
        </w:rPr>
        <w:t xml:space="preserve">alltagspraktische </w:t>
      </w:r>
      <w:r w:rsidRPr="00D05935">
        <w:rPr>
          <w:rFonts w:asciiTheme="minorHAnsi" w:hAnsiTheme="minorHAnsi" w:cstheme="minorHAnsi"/>
          <w:color w:val="333333"/>
          <w:sz w:val="22"/>
          <w:szCs w:val="22"/>
        </w:rPr>
        <w:t>Art und Weise veranschaulichen lassen: das Umrechnen des Volumens kleiner Kohlendioxidmengen in eine bestimmte Anzahl von Umzugskartons und das Umrechnen großer CO</w:t>
      </w:r>
      <w:r w:rsidRPr="00D05935">
        <w:rPr>
          <w:rFonts w:asciiTheme="minorHAnsi" w:hAnsiTheme="minorHAnsi" w:cstheme="minorHAnsi"/>
          <w:color w:val="333333"/>
          <w:sz w:val="22"/>
          <w:szCs w:val="22"/>
          <w:bdr w:val="none" w:sz="0" w:space="0" w:color="auto" w:frame="1"/>
          <w:vertAlign w:val="subscript"/>
        </w:rPr>
        <w:t>2</w:t>
      </w:r>
      <w:r w:rsidRPr="00D05935">
        <w:rPr>
          <w:rFonts w:asciiTheme="minorHAnsi" w:hAnsiTheme="minorHAnsi" w:cstheme="minorHAnsi"/>
          <w:color w:val="333333"/>
          <w:sz w:val="22"/>
          <w:szCs w:val="22"/>
        </w:rPr>
        <w:t>-Mengen in Waldflächenäquivalente.</w:t>
      </w:r>
    </w:p>
    <w:p w14:paraId="2D77DE3F" w14:textId="5B0ED7AD" w:rsidR="00F908E9" w:rsidRPr="00D05935" w:rsidRDefault="00F908E9"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sidRPr="00D05935">
        <w:rPr>
          <w:rStyle w:val="Fett"/>
          <w:rFonts w:asciiTheme="minorHAnsi" w:hAnsiTheme="minorHAnsi" w:cstheme="minorHAnsi"/>
          <w:color w:val="333333"/>
          <w:sz w:val="22"/>
          <w:szCs w:val="22"/>
          <w:bdr w:val="none" w:sz="0" w:space="0" w:color="auto" w:frame="1"/>
        </w:rPr>
        <w:t>Umrechnen kleiner CO</w:t>
      </w:r>
      <w:r w:rsidRPr="00D05935">
        <w:rPr>
          <w:rStyle w:val="Fett"/>
          <w:rFonts w:asciiTheme="minorHAnsi" w:hAnsiTheme="minorHAnsi" w:cstheme="minorHAnsi"/>
          <w:color w:val="333333"/>
          <w:sz w:val="22"/>
          <w:szCs w:val="22"/>
          <w:bdr w:val="none" w:sz="0" w:space="0" w:color="auto" w:frame="1"/>
          <w:vertAlign w:val="subscript"/>
        </w:rPr>
        <w:t>2</w:t>
      </w:r>
      <w:r w:rsidRPr="00D05935">
        <w:rPr>
          <w:rStyle w:val="Fett"/>
          <w:rFonts w:asciiTheme="minorHAnsi" w:hAnsiTheme="minorHAnsi" w:cstheme="minorHAnsi"/>
          <w:color w:val="333333"/>
          <w:sz w:val="22"/>
          <w:szCs w:val="22"/>
          <w:bdr w:val="none" w:sz="0" w:space="0" w:color="auto" w:frame="1"/>
        </w:rPr>
        <w:t>-Mengen in Umzugskartons</w:t>
      </w:r>
    </w:p>
    <w:p w14:paraId="6A95F119" w14:textId="3BC7B7DD" w:rsidR="00F908E9" w:rsidRPr="00D05935" w:rsidRDefault="00F908E9"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sidRPr="00D05935">
        <w:rPr>
          <w:rFonts w:asciiTheme="minorHAnsi" w:hAnsiTheme="minorHAnsi" w:cstheme="minorHAnsi"/>
          <w:color w:val="333333"/>
          <w:sz w:val="22"/>
          <w:szCs w:val="22"/>
        </w:rPr>
        <w:t>Die Idee, Umzugskartons als Vergleichsgröße heranzuziehen, um eine bestimmte Menge CO</w:t>
      </w:r>
      <w:r w:rsidRPr="00D05935">
        <w:rPr>
          <w:rFonts w:asciiTheme="minorHAnsi" w:hAnsiTheme="minorHAnsi" w:cstheme="minorHAnsi"/>
          <w:color w:val="333333"/>
          <w:sz w:val="22"/>
          <w:szCs w:val="22"/>
          <w:bdr w:val="none" w:sz="0" w:space="0" w:color="auto" w:frame="1"/>
          <w:vertAlign w:val="subscript"/>
        </w:rPr>
        <w:t>2</w:t>
      </w:r>
      <w:r w:rsidRPr="00D05935">
        <w:rPr>
          <w:rFonts w:asciiTheme="minorHAnsi" w:hAnsiTheme="minorHAnsi" w:cstheme="minorHAnsi"/>
          <w:color w:val="333333"/>
          <w:sz w:val="22"/>
          <w:szCs w:val="22"/>
        </w:rPr>
        <w:t> zu veranschaulichen, stammt vom Klimapakt</w:t>
      </w:r>
      <w:r w:rsidR="00424066">
        <w:rPr>
          <w:rFonts w:asciiTheme="minorHAnsi" w:hAnsiTheme="minorHAnsi" w:cstheme="minorHAnsi"/>
          <w:color w:val="333333"/>
          <w:sz w:val="22"/>
          <w:szCs w:val="22"/>
        </w:rPr>
        <w:t>-</w:t>
      </w:r>
      <w:r w:rsidRPr="00D05935">
        <w:rPr>
          <w:rFonts w:asciiTheme="minorHAnsi" w:hAnsiTheme="minorHAnsi" w:cstheme="minorHAnsi"/>
          <w:color w:val="333333"/>
          <w:sz w:val="22"/>
          <w:szCs w:val="22"/>
        </w:rPr>
        <w:t>Flensburg, der hierzu auch einen knapp zweiminütigen, sehr sehenswerten Animationsfilm produziert hat. Die kluge Kernfrage der Flensburger konzentrierte sich nicht auf die Masse, sondern auf das Volumen des Kohlendioxids. Denn ihre Frage lautete: Wie viel CO</w:t>
      </w:r>
      <w:r w:rsidRPr="00D05935">
        <w:rPr>
          <w:rFonts w:asciiTheme="minorHAnsi" w:hAnsiTheme="minorHAnsi" w:cstheme="minorHAnsi"/>
          <w:color w:val="333333"/>
          <w:sz w:val="22"/>
          <w:szCs w:val="22"/>
          <w:bdr w:val="none" w:sz="0" w:space="0" w:color="auto" w:frame="1"/>
          <w:vertAlign w:val="subscript"/>
        </w:rPr>
        <w:t>2</w:t>
      </w:r>
      <w:r w:rsidRPr="00D05935">
        <w:rPr>
          <w:rFonts w:asciiTheme="minorHAnsi" w:hAnsiTheme="minorHAnsi" w:cstheme="minorHAnsi"/>
          <w:color w:val="333333"/>
          <w:sz w:val="22"/>
          <w:szCs w:val="22"/>
        </w:rPr>
        <w:t> passt in einen handelsüblichen Umzugskarton? Antwort: etwa 100 Gramm. Für all diejenigen, die sich genauer für diese Umrechnung interessieren, sei an dieser Stelle auch der dazugehörige Rechenweg dargestellt.</w:t>
      </w:r>
    </w:p>
    <w:p w14:paraId="154F4099" w14:textId="77777777" w:rsidR="00F908E9" w:rsidRPr="006647F0" w:rsidRDefault="00F908E9" w:rsidP="006647F0">
      <w:pPr>
        <w:pStyle w:val="Listenabsatz"/>
        <w:numPr>
          <w:ilvl w:val="0"/>
          <w:numId w:val="9"/>
        </w:numPr>
        <w:textAlignment w:val="baseline"/>
        <w:rPr>
          <w:rFonts w:cstheme="minorHAnsi"/>
          <w:color w:val="333333"/>
        </w:rPr>
      </w:pPr>
      <w:r w:rsidRPr="006647F0">
        <w:rPr>
          <w:rFonts w:cstheme="minorHAnsi"/>
          <w:color w:val="333333"/>
        </w:rPr>
        <w:t>Ein Mol CO</w:t>
      </w:r>
      <w:r w:rsidRPr="006647F0">
        <w:rPr>
          <w:rFonts w:cstheme="minorHAnsi"/>
          <w:color w:val="333333"/>
          <w:bdr w:val="none" w:sz="0" w:space="0" w:color="auto" w:frame="1"/>
          <w:vertAlign w:val="subscript"/>
        </w:rPr>
        <w:t>2</w:t>
      </w:r>
      <w:r w:rsidRPr="006647F0">
        <w:rPr>
          <w:rFonts w:cstheme="minorHAnsi"/>
          <w:color w:val="333333"/>
        </w:rPr>
        <w:t xml:space="preserve"> (6,022 </w:t>
      </w:r>
      <w:r w:rsidRPr="002612C8">
        <w:rPr>
          <w:rFonts w:cstheme="minorHAnsi"/>
          <w:color w:val="333333"/>
          <w:sz w:val="16"/>
          <w:szCs w:val="16"/>
        </w:rPr>
        <w:t>*</w:t>
      </w:r>
      <w:r w:rsidRPr="006647F0">
        <w:rPr>
          <w:rFonts w:cstheme="minorHAnsi"/>
          <w:color w:val="333333"/>
        </w:rPr>
        <w:t xml:space="preserve"> 10</w:t>
      </w:r>
      <w:r w:rsidRPr="006647F0">
        <w:rPr>
          <w:rFonts w:cstheme="minorHAnsi"/>
          <w:color w:val="333333"/>
          <w:bdr w:val="none" w:sz="0" w:space="0" w:color="auto" w:frame="1"/>
          <w:vertAlign w:val="superscript"/>
        </w:rPr>
        <w:t>23</w:t>
      </w:r>
      <w:r w:rsidRPr="006647F0">
        <w:rPr>
          <w:rFonts w:cstheme="minorHAnsi"/>
          <w:color w:val="333333"/>
        </w:rPr>
        <w:t> Teilchen) hat eine Masse von 44,01 Gramm, dieses Mol CO</w:t>
      </w:r>
      <w:r w:rsidRPr="006647F0">
        <w:rPr>
          <w:rFonts w:cstheme="minorHAnsi"/>
          <w:color w:val="333333"/>
          <w:bdr w:val="none" w:sz="0" w:space="0" w:color="auto" w:frame="1"/>
          <w:vertAlign w:val="subscript"/>
        </w:rPr>
        <w:t>2</w:t>
      </w:r>
      <w:r w:rsidRPr="006647F0">
        <w:rPr>
          <w:rFonts w:cstheme="minorHAnsi"/>
          <w:color w:val="333333"/>
        </w:rPr>
        <w:t> hat unter Normbedingungen (1.013 mbar, 0 </w:t>
      </w:r>
      <w:proofErr w:type="spellStart"/>
      <w:r w:rsidRPr="006647F0">
        <w:rPr>
          <w:rFonts w:cstheme="minorHAnsi"/>
          <w:color w:val="333333"/>
          <w:bdr w:val="none" w:sz="0" w:space="0" w:color="auto" w:frame="1"/>
          <w:vertAlign w:val="superscript"/>
        </w:rPr>
        <w:t>o</w:t>
      </w:r>
      <w:r w:rsidRPr="006647F0">
        <w:rPr>
          <w:rFonts w:cstheme="minorHAnsi"/>
          <w:color w:val="333333"/>
        </w:rPr>
        <w:t>C</w:t>
      </w:r>
      <w:proofErr w:type="spellEnd"/>
      <w:r w:rsidRPr="006647F0">
        <w:rPr>
          <w:rFonts w:cstheme="minorHAnsi"/>
          <w:color w:val="333333"/>
        </w:rPr>
        <w:t>) ein Volumen von 22,4 Litern (dm</w:t>
      </w:r>
      <w:r w:rsidRPr="006647F0">
        <w:rPr>
          <w:rFonts w:cstheme="minorHAnsi"/>
          <w:color w:val="333333"/>
          <w:bdr w:val="none" w:sz="0" w:space="0" w:color="auto" w:frame="1"/>
          <w:vertAlign w:val="superscript"/>
        </w:rPr>
        <w:t>3</w:t>
      </w:r>
      <w:r w:rsidRPr="006647F0">
        <w:rPr>
          <w:rFonts w:cstheme="minorHAnsi"/>
          <w:color w:val="333333"/>
        </w:rPr>
        <w:t>).</w:t>
      </w:r>
    </w:p>
    <w:p w14:paraId="1C6DF25E" w14:textId="77777777" w:rsidR="00F908E9" w:rsidRPr="006647F0" w:rsidRDefault="00F908E9" w:rsidP="006647F0">
      <w:pPr>
        <w:pStyle w:val="Listenabsatz"/>
        <w:numPr>
          <w:ilvl w:val="0"/>
          <w:numId w:val="9"/>
        </w:numPr>
        <w:textAlignment w:val="baseline"/>
        <w:rPr>
          <w:rFonts w:cstheme="minorHAnsi"/>
          <w:color w:val="333333"/>
        </w:rPr>
      </w:pPr>
      <w:r w:rsidRPr="006647F0">
        <w:rPr>
          <w:rFonts w:cstheme="minorHAnsi"/>
          <w:color w:val="333333"/>
        </w:rPr>
        <w:t>Demnach haben 44 g CO</w:t>
      </w:r>
      <w:r w:rsidRPr="006647F0">
        <w:rPr>
          <w:rFonts w:cstheme="minorHAnsi"/>
          <w:color w:val="333333"/>
          <w:bdr w:val="none" w:sz="0" w:space="0" w:color="auto" w:frame="1"/>
          <w:vertAlign w:val="subscript"/>
        </w:rPr>
        <w:t>2</w:t>
      </w:r>
      <w:r w:rsidRPr="006647F0">
        <w:rPr>
          <w:rFonts w:cstheme="minorHAnsi"/>
          <w:color w:val="333333"/>
        </w:rPr>
        <w:t> ein Volumen von 22,4 Litern.</w:t>
      </w:r>
    </w:p>
    <w:p w14:paraId="40F7D03F" w14:textId="77777777" w:rsidR="00F908E9" w:rsidRPr="006647F0" w:rsidRDefault="00F908E9" w:rsidP="006647F0">
      <w:pPr>
        <w:pStyle w:val="Listenabsatz"/>
        <w:numPr>
          <w:ilvl w:val="0"/>
          <w:numId w:val="9"/>
        </w:numPr>
        <w:textAlignment w:val="baseline"/>
        <w:rPr>
          <w:rFonts w:cstheme="minorHAnsi"/>
          <w:color w:val="333333"/>
        </w:rPr>
      </w:pPr>
      <w:r w:rsidRPr="006647F0">
        <w:rPr>
          <w:rFonts w:cstheme="minorHAnsi"/>
          <w:color w:val="333333"/>
        </w:rPr>
        <w:t xml:space="preserve">Laut Wikipedia sind Standard-Umzugskartons etwa 30 bis 33 cm hoch und breit sowie 58 bis 66 cm lang; das Volumen eines Umzugskartons der Größe 30 </w:t>
      </w:r>
      <w:r w:rsidRPr="00344832">
        <w:rPr>
          <w:rFonts w:cstheme="minorHAnsi"/>
          <w:color w:val="333333"/>
          <w:sz w:val="16"/>
          <w:szCs w:val="16"/>
        </w:rPr>
        <w:t>*</w:t>
      </w:r>
      <w:r w:rsidRPr="006647F0">
        <w:rPr>
          <w:rFonts w:cstheme="minorHAnsi"/>
          <w:color w:val="333333"/>
        </w:rPr>
        <w:t xml:space="preserve"> 30 </w:t>
      </w:r>
      <w:r w:rsidRPr="00344832">
        <w:rPr>
          <w:rFonts w:cstheme="minorHAnsi"/>
          <w:color w:val="333333"/>
          <w:sz w:val="16"/>
          <w:szCs w:val="16"/>
        </w:rPr>
        <w:t>*</w:t>
      </w:r>
      <w:r w:rsidRPr="006647F0">
        <w:rPr>
          <w:rFonts w:cstheme="minorHAnsi"/>
          <w:color w:val="333333"/>
        </w:rPr>
        <w:t xml:space="preserve"> 58 cm beträgt 3 </w:t>
      </w:r>
      <w:proofErr w:type="spellStart"/>
      <w:r w:rsidRPr="006647F0">
        <w:rPr>
          <w:rFonts w:cstheme="minorHAnsi"/>
          <w:color w:val="333333"/>
        </w:rPr>
        <w:t>dm</w:t>
      </w:r>
      <w:proofErr w:type="spellEnd"/>
      <w:r w:rsidRPr="006647F0">
        <w:rPr>
          <w:rFonts w:cstheme="minorHAnsi"/>
          <w:color w:val="333333"/>
        </w:rPr>
        <w:t xml:space="preserve"> </w:t>
      </w:r>
      <w:r w:rsidRPr="00344832">
        <w:rPr>
          <w:rFonts w:cstheme="minorHAnsi"/>
          <w:color w:val="333333"/>
          <w:sz w:val="16"/>
          <w:szCs w:val="16"/>
        </w:rPr>
        <w:t>*</w:t>
      </w:r>
      <w:r w:rsidRPr="006647F0">
        <w:rPr>
          <w:rFonts w:cstheme="minorHAnsi"/>
          <w:color w:val="333333"/>
        </w:rPr>
        <w:t xml:space="preserve"> 3 </w:t>
      </w:r>
      <w:proofErr w:type="spellStart"/>
      <w:r w:rsidRPr="006647F0">
        <w:rPr>
          <w:rFonts w:cstheme="minorHAnsi"/>
          <w:color w:val="333333"/>
        </w:rPr>
        <w:t>dm</w:t>
      </w:r>
      <w:proofErr w:type="spellEnd"/>
      <w:r w:rsidRPr="006647F0">
        <w:rPr>
          <w:rFonts w:cstheme="minorHAnsi"/>
          <w:color w:val="333333"/>
        </w:rPr>
        <w:t xml:space="preserve"> </w:t>
      </w:r>
      <w:r w:rsidRPr="00344832">
        <w:rPr>
          <w:rFonts w:cstheme="minorHAnsi"/>
          <w:color w:val="333333"/>
          <w:sz w:val="16"/>
          <w:szCs w:val="16"/>
        </w:rPr>
        <w:t>*</w:t>
      </w:r>
      <w:r w:rsidRPr="006647F0">
        <w:rPr>
          <w:rFonts w:cstheme="minorHAnsi"/>
          <w:color w:val="333333"/>
        </w:rPr>
        <w:t xml:space="preserve"> 5,8 </w:t>
      </w:r>
      <w:proofErr w:type="spellStart"/>
      <w:r w:rsidRPr="006647F0">
        <w:rPr>
          <w:rFonts w:cstheme="minorHAnsi"/>
          <w:color w:val="333333"/>
        </w:rPr>
        <w:t>dm</w:t>
      </w:r>
      <w:proofErr w:type="spellEnd"/>
      <w:r w:rsidRPr="006647F0">
        <w:rPr>
          <w:rFonts w:cstheme="minorHAnsi"/>
          <w:color w:val="333333"/>
        </w:rPr>
        <w:t xml:space="preserve"> = 52,2 dm</w:t>
      </w:r>
      <w:r w:rsidRPr="006647F0">
        <w:rPr>
          <w:rFonts w:cstheme="minorHAnsi"/>
          <w:color w:val="333333"/>
          <w:bdr w:val="none" w:sz="0" w:space="0" w:color="auto" w:frame="1"/>
          <w:vertAlign w:val="superscript"/>
        </w:rPr>
        <w:t>3</w:t>
      </w:r>
      <w:r w:rsidRPr="006647F0">
        <w:rPr>
          <w:rFonts w:cstheme="minorHAnsi"/>
          <w:color w:val="333333"/>
        </w:rPr>
        <w:t> (Liter).</w:t>
      </w:r>
    </w:p>
    <w:p w14:paraId="7DFCE164" w14:textId="0C53795A" w:rsidR="00F908E9" w:rsidRPr="006647F0" w:rsidRDefault="00F908E9" w:rsidP="006647F0">
      <w:pPr>
        <w:pStyle w:val="Listenabsatz"/>
        <w:numPr>
          <w:ilvl w:val="0"/>
          <w:numId w:val="9"/>
        </w:numPr>
        <w:textAlignment w:val="baseline"/>
        <w:rPr>
          <w:rFonts w:cstheme="minorHAnsi"/>
          <w:color w:val="333333"/>
        </w:rPr>
      </w:pPr>
      <w:r w:rsidRPr="006647F0">
        <w:rPr>
          <w:rFonts w:cstheme="minorHAnsi"/>
          <w:color w:val="333333"/>
        </w:rPr>
        <w:lastRenderedPageBreak/>
        <w:t xml:space="preserve">Der abschließende Dreisatz </w:t>
      </w:r>
      <w:r w:rsidR="004804E1">
        <w:rPr>
          <w:rFonts w:cstheme="minorHAnsi"/>
          <w:color w:val="333333"/>
        </w:rPr>
        <w:t>lautet</w:t>
      </w:r>
      <w:r w:rsidRPr="006647F0">
        <w:rPr>
          <w:rFonts w:cstheme="minorHAnsi"/>
          <w:color w:val="333333"/>
        </w:rPr>
        <w:t>: Da 22, 4 Liter CO</w:t>
      </w:r>
      <w:r w:rsidRPr="004804E1">
        <w:rPr>
          <w:rFonts w:cstheme="minorHAnsi"/>
          <w:color w:val="333333"/>
          <w:bdr w:val="none" w:sz="0" w:space="0" w:color="auto" w:frame="1"/>
          <w:vertAlign w:val="subscript"/>
        </w:rPr>
        <w:t>2</w:t>
      </w:r>
      <w:r w:rsidRPr="006647F0">
        <w:rPr>
          <w:rFonts w:cstheme="minorHAnsi"/>
          <w:color w:val="333333"/>
        </w:rPr>
        <w:t> ein Gewicht von 44 Gramm haben, wiegen 52,2 Liter CO</w:t>
      </w:r>
      <w:r w:rsidRPr="006647F0">
        <w:rPr>
          <w:rFonts w:cstheme="minorHAnsi"/>
          <w:color w:val="333333"/>
          <w:bdr w:val="none" w:sz="0" w:space="0" w:color="auto" w:frame="1"/>
          <w:vertAlign w:val="subscript"/>
        </w:rPr>
        <w:t>2</w:t>
      </w:r>
      <w:r w:rsidRPr="006647F0">
        <w:rPr>
          <w:rFonts w:cstheme="minorHAnsi"/>
          <w:color w:val="333333"/>
        </w:rPr>
        <w:t> genau 102,5 Gramm.</w:t>
      </w:r>
    </w:p>
    <w:p w14:paraId="0FD1D846" w14:textId="39E8B258" w:rsidR="00D05935" w:rsidRPr="00D05935" w:rsidRDefault="00A02E7B"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sidRPr="00D05935">
        <w:rPr>
          <w:rFonts w:asciiTheme="minorHAnsi" w:hAnsiTheme="minorHAnsi" w:cstheme="minorHAnsi"/>
          <w:sz w:val="22"/>
          <w:szCs w:val="22"/>
        </w:rPr>
        <w:br/>
      </w:r>
      <w:r w:rsidR="00D05935" w:rsidRPr="006647F0">
        <w:rPr>
          <w:rFonts w:asciiTheme="minorHAnsi" w:hAnsiTheme="minorHAnsi" w:cstheme="minorHAnsi"/>
          <w:color w:val="333333"/>
          <w:sz w:val="22"/>
          <w:szCs w:val="22"/>
        </w:rPr>
        <w:t>Abgerundet sind es demnach gerade einmal rund 100 Gramm Kohlendioxid, die in einen handelsüblichen Standard-Umzugskarton passen.</w:t>
      </w:r>
      <w:r w:rsidR="00D05935" w:rsidRPr="00D05935">
        <w:rPr>
          <w:rFonts w:asciiTheme="minorHAnsi" w:hAnsiTheme="minorHAnsi" w:cstheme="minorHAnsi"/>
          <w:color w:val="333333"/>
          <w:sz w:val="22"/>
          <w:szCs w:val="22"/>
        </w:rPr>
        <w:t> Zwei Anwendungsbeispiele zeigen, dass sich diese Umrechnungsmethode deshalb in erster Linie für kleinere CO</w:t>
      </w:r>
      <w:r w:rsidR="00D05935" w:rsidRPr="00D05935">
        <w:rPr>
          <w:rFonts w:asciiTheme="minorHAnsi" w:hAnsiTheme="minorHAnsi" w:cstheme="minorHAnsi"/>
          <w:color w:val="333333"/>
          <w:sz w:val="22"/>
          <w:szCs w:val="22"/>
          <w:bdr w:val="none" w:sz="0" w:space="0" w:color="auto" w:frame="1"/>
          <w:vertAlign w:val="subscript"/>
        </w:rPr>
        <w:t>2</w:t>
      </w:r>
      <w:r w:rsidR="00D05935" w:rsidRPr="00D05935">
        <w:rPr>
          <w:rFonts w:asciiTheme="minorHAnsi" w:hAnsiTheme="minorHAnsi" w:cstheme="minorHAnsi"/>
          <w:color w:val="333333"/>
          <w:sz w:val="22"/>
          <w:szCs w:val="22"/>
        </w:rPr>
        <w:t>-Mengen eignet:</w:t>
      </w:r>
    </w:p>
    <w:p w14:paraId="0062BA85" w14:textId="64A925F2" w:rsidR="00D05935" w:rsidRPr="006647F0" w:rsidRDefault="00D05935" w:rsidP="006647F0">
      <w:pPr>
        <w:pStyle w:val="Listenabsatz"/>
        <w:numPr>
          <w:ilvl w:val="0"/>
          <w:numId w:val="10"/>
        </w:numPr>
        <w:textAlignment w:val="baseline"/>
        <w:rPr>
          <w:rFonts w:eastAsia="Times New Roman" w:cstheme="minorHAnsi"/>
          <w:color w:val="333333"/>
          <w:lang w:eastAsia="de-DE"/>
        </w:rPr>
      </w:pPr>
      <w:r w:rsidRPr="006647F0">
        <w:rPr>
          <w:rFonts w:eastAsia="Times New Roman" w:cstheme="minorHAnsi"/>
          <w:color w:val="333333"/>
          <w:lang w:eastAsia="de-DE"/>
        </w:rPr>
        <w:t xml:space="preserve">Jedes Watt Dauerleistung verursacht einen jährlichen Stromverbrauch von 8,76 Kilowattstunden und – ausgehend vom bundesweiten </w:t>
      </w:r>
      <w:hyperlink r:id="rId9" w:history="1">
        <w:r w:rsidRPr="005A432C">
          <w:rPr>
            <w:rStyle w:val="Hyperlink"/>
            <w:rFonts w:eastAsia="Times New Roman" w:cstheme="minorHAnsi"/>
            <w:lang w:eastAsia="de-DE"/>
          </w:rPr>
          <w:t xml:space="preserve">Strommix </w:t>
        </w:r>
        <w:r w:rsidR="002F3480" w:rsidRPr="005A432C">
          <w:rPr>
            <w:rStyle w:val="Hyperlink"/>
            <w:rFonts w:eastAsia="Times New Roman" w:cstheme="minorHAnsi"/>
            <w:lang w:eastAsia="de-DE"/>
          </w:rPr>
          <w:t>202</w:t>
        </w:r>
        <w:r w:rsidR="00121D23" w:rsidRPr="005A432C">
          <w:rPr>
            <w:rStyle w:val="Hyperlink"/>
            <w:rFonts w:eastAsia="Times New Roman" w:cstheme="minorHAnsi"/>
            <w:lang w:eastAsia="de-DE"/>
          </w:rPr>
          <w:t>2</w:t>
        </w:r>
      </w:hyperlink>
      <w:r w:rsidRPr="006647F0">
        <w:rPr>
          <w:rFonts w:eastAsia="Times New Roman" w:cstheme="minorHAnsi"/>
          <w:color w:val="333333"/>
          <w:lang w:eastAsia="de-DE"/>
        </w:rPr>
        <w:t xml:space="preserve"> – Kohlendioxid-Emissionen in Höhe von </w:t>
      </w:r>
      <w:r w:rsidRPr="00121D23">
        <w:rPr>
          <w:rFonts w:eastAsia="Times New Roman" w:cstheme="minorHAnsi"/>
          <w:lang w:eastAsia="de-DE"/>
        </w:rPr>
        <w:t xml:space="preserve">etwa </w:t>
      </w:r>
      <w:r w:rsidR="008F53CA">
        <w:rPr>
          <w:rFonts w:eastAsia="Times New Roman" w:cstheme="minorHAnsi"/>
          <w:lang w:eastAsia="de-DE"/>
        </w:rPr>
        <w:t>3,8</w:t>
      </w:r>
      <w:r w:rsidRPr="00121D23">
        <w:rPr>
          <w:rFonts w:eastAsia="Times New Roman" w:cstheme="minorHAnsi"/>
          <w:lang w:eastAsia="de-DE"/>
        </w:rPr>
        <w:t xml:space="preserve"> Kilogramm; diese CO</w:t>
      </w:r>
      <w:r w:rsidRPr="00121D23">
        <w:rPr>
          <w:rFonts w:eastAsia="Times New Roman" w:cstheme="minorHAnsi"/>
          <w:bdr w:val="none" w:sz="0" w:space="0" w:color="auto" w:frame="1"/>
          <w:vertAlign w:val="subscript"/>
          <w:lang w:eastAsia="de-DE"/>
        </w:rPr>
        <w:t>2</w:t>
      </w:r>
      <w:r w:rsidRPr="00121D23">
        <w:rPr>
          <w:rFonts w:eastAsia="Times New Roman" w:cstheme="minorHAnsi"/>
          <w:lang w:eastAsia="de-DE"/>
        </w:rPr>
        <w:t xml:space="preserve">-Menge entspricht </w:t>
      </w:r>
      <w:r w:rsidR="008F53CA">
        <w:rPr>
          <w:rFonts w:eastAsia="Times New Roman" w:cstheme="minorHAnsi"/>
          <w:lang w:eastAsia="de-DE"/>
        </w:rPr>
        <w:t>38</w:t>
      </w:r>
      <w:r w:rsidRPr="00121D23">
        <w:rPr>
          <w:rFonts w:eastAsia="Times New Roman" w:cstheme="minorHAnsi"/>
          <w:lang w:eastAsia="de-DE"/>
        </w:rPr>
        <w:t xml:space="preserve"> Umzugskartons</w:t>
      </w:r>
      <w:r w:rsidRPr="006647F0">
        <w:rPr>
          <w:rFonts w:eastAsia="Times New Roman" w:cstheme="minorHAnsi"/>
          <w:color w:val="333333"/>
          <w:lang w:eastAsia="de-DE"/>
        </w:rPr>
        <w:t>.</w:t>
      </w:r>
      <w:r w:rsidRPr="006647F0">
        <w:rPr>
          <w:rFonts w:eastAsia="Times New Roman" w:cstheme="minorHAnsi"/>
          <w:color w:val="333333"/>
          <w:lang w:eastAsia="de-DE"/>
        </w:rPr>
        <w:br/>
      </w:r>
    </w:p>
    <w:p w14:paraId="669A1F8F" w14:textId="2C1A96F3" w:rsidR="00D05935" w:rsidRPr="006647F0" w:rsidRDefault="00D05935" w:rsidP="006647F0">
      <w:pPr>
        <w:pStyle w:val="Listenabsatz"/>
        <w:numPr>
          <w:ilvl w:val="0"/>
          <w:numId w:val="10"/>
        </w:numPr>
        <w:textAlignment w:val="baseline"/>
        <w:rPr>
          <w:rFonts w:eastAsia="Times New Roman" w:cstheme="minorHAnsi"/>
          <w:color w:val="333333"/>
          <w:lang w:eastAsia="de-DE"/>
        </w:rPr>
      </w:pPr>
      <w:r w:rsidRPr="006647F0">
        <w:rPr>
          <w:rFonts w:eastAsia="Times New Roman" w:cstheme="minorHAnsi"/>
          <w:color w:val="333333"/>
          <w:lang w:eastAsia="de-DE"/>
        </w:rPr>
        <w:t>In Deutschland betragen die jährlichen CO</w:t>
      </w:r>
      <w:r w:rsidRPr="006647F0">
        <w:rPr>
          <w:rFonts w:eastAsia="Times New Roman" w:cstheme="minorHAnsi"/>
          <w:color w:val="333333"/>
          <w:bdr w:val="none" w:sz="0" w:space="0" w:color="auto" w:frame="1"/>
          <w:vertAlign w:val="subscript"/>
          <w:lang w:eastAsia="de-DE"/>
        </w:rPr>
        <w:t>2</w:t>
      </w:r>
      <w:r w:rsidRPr="006647F0">
        <w:rPr>
          <w:rFonts w:eastAsia="Times New Roman" w:cstheme="minorHAnsi"/>
          <w:color w:val="333333"/>
          <w:lang w:eastAsia="de-DE"/>
        </w:rPr>
        <w:t xml:space="preserve">-Emissionen pro Kopf etwa </w:t>
      </w:r>
      <w:r w:rsidR="00121D23" w:rsidRPr="00121D23">
        <w:rPr>
          <w:rFonts w:eastAsia="Times New Roman" w:cstheme="minorHAnsi"/>
          <w:lang w:eastAsia="de-DE"/>
        </w:rPr>
        <w:t>10,5</w:t>
      </w:r>
      <w:r w:rsidRPr="00121D23">
        <w:rPr>
          <w:rFonts w:eastAsia="Times New Roman" w:cstheme="minorHAnsi"/>
          <w:lang w:eastAsia="de-DE"/>
        </w:rPr>
        <w:t xml:space="preserve"> Tonnen </w:t>
      </w:r>
      <w:r w:rsidRPr="006647F0">
        <w:rPr>
          <w:rFonts w:eastAsia="Times New Roman" w:cstheme="minorHAnsi"/>
          <w:color w:val="333333"/>
          <w:lang w:eastAsia="de-DE"/>
        </w:rPr>
        <w:t xml:space="preserve">– diese Kohlendioxidmenge entspricht </w:t>
      </w:r>
      <w:r w:rsidRPr="00121D23">
        <w:rPr>
          <w:rFonts w:eastAsia="Times New Roman" w:cstheme="minorHAnsi"/>
          <w:lang w:eastAsia="de-DE"/>
        </w:rPr>
        <w:t xml:space="preserve">bereits </w:t>
      </w:r>
      <w:r w:rsidR="00121D23" w:rsidRPr="00121D23">
        <w:rPr>
          <w:rFonts w:eastAsia="Times New Roman" w:cstheme="minorHAnsi"/>
          <w:lang w:eastAsia="de-DE"/>
        </w:rPr>
        <w:t>105</w:t>
      </w:r>
      <w:r w:rsidRPr="00121D23">
        <w:rPr>
          <w:rFonts w:eastAsia="Times New Roman" w:cstheme="minorHAnsi"/>
          <w:lang w:eastAsia="de-DE"/>
        </w:rPr>
        <w:t xml:space="preserve">.000 Umzugskartons </w:t>
      </w:r>
      <w:r w:rsidRPr="006647F0">
        <w:rPr>
          <w:rFonts w:eastAsia="Times New Roman" w:cstheme="minorHAnsi"/>
          <w:color w:val="333333"/>
          <w:lang w:eastAsia="de-DE"/>
        </w:rPr>
        <w:t xml:space="preserve">pro Jahr, das sind </w:t>
      </w:r>
      <w:r w:rsidR="00665337">
        <w:rPr>
          <w:rFonts w:eastAsia="Times New Roman" w:cstheme="minorHAnsi"/>
          <w:color w:val="333333"/>
          <w:lang w:eastAsia="de-DE"/>
        </w:rPr>
        <w:t>immerhin</w:t>
      </w:r>
      <w:r w:rsidRPr="006647F0">
        <w:rPr>
          <w:rFonts w:eastAsia="Times New Roman" w:cstheme="minorHAnsi"/>
          <w:color w:val="333333"/>
          <w:lang w:eastAsia="de-DE"/>
        </w:rPr>
        <w:t xml:space="preserve"> </w:t>
      </w:r>
      <w:r w:rsidRPr="00121D23">
        <w:rPr>
          <w:rFonts w:eastAsia="Times New Roman" w:cstheme="minorHAnsi"/>
          <w:lang w:eastAsia="de-DE"/>
        </w:rPr>
        <w:t>2</w:t>
      </w:r>
      <w:r w:rsidR="00121D23" w:rsidRPr="00121D23">
        <w:rPr>
          <w:rFonts w:eastAsia="Times New Roman" w:cstheme="minorHAnsi"/>
          <w:lang w:eastAsia="de-DE"/>
        </w:rPr>
        <w:t>88</w:t>
      </w:r>
      <w:r w:rsidRPr="00121D23">
        <w:rPr>
          <w:rFonts w:eastAsia="Times New Roman" w:cstheme="minorHAnsi"/>
          <w:lang w:eastAsia="de-DE"/>
        </w:rPr>
        <w:t xml:space="preserve"> </w:t>
      </w:r>
      <w:r w:rsidRPr="006647F0">
        <w:rPr>
          <w:rFonts w:eastAsia="Times New Roman" w:cstheme="minorHAnsi"/>
          <w:color w:val="333333"/>
          <w:lang w:eastAsia="de-DE"/>
        </w:rPr>
        <w:t>Kartons täglich.</w:t>
      </w:r>
    </w:p>
    <w:p w14:paraId="0A6173C3" w14:textId="5C2A7D43" w:rsidR="00665337" w:rsidRPr="00665337" w:rsidRDefault="00665337" w:rsidP="00D05935">
      <w:pPr>
        <w:textAlignment w:val="baseline"/>
        <w:rPr>
          <w:rFonts w:eastAsia="Times New Roman" w:cstheme="minorHAnsi"/>
          <w:color w:val="FF0000"/>
          <w:bdr w:val="none" w:sz="0" w:space="0" w:color="auto" w:frame="1"/>
          <w:lang w:eastAsia="de-DE"/>
        </w:rPr>
      </w:pPr>
      <w:r>
        <w:rPr>
          <w:rFonts w:eastAsia="Times New Roman" w:cstheme="minorHAnsi"/>
          <w:b/>
          <w:bCs/>
          <w:color w:val="333333"/>
          <w:bdr w:val="none" w:sz="0" w:space="0" w:color="auto" w:frame="1"/>
          <w:lang w:eastAsia="de-DE"/>
        </w:rPr>
        <w:br/>
      </w:r>
      <w:r w:rsidR="00557BDC">
        <w:rPr>
          <w:rFonts w:cstheme="minorHAnsi"/>
          <w:noProof/>
          <w:color w:val="FF0000"/>
        </w:rPr>
        <w:drawing>
          <wp:inline distT="0" distB="0" distL="0" distR="0" wp14:anchorId="6514600F" wp14:editId="582DEC72">
            <wp:extent cx="5760720" cy="3839845"/>
            <wp:effectExtent l="0" t="0" r="0" b="8255"/>
            <wp:docPr id="846056562" name="Grafik 4" descr="Ein Bild, das Karton, Versandbox, Behälter, Box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56562" name="Grafik 4" descr="Ein Bild, das Karton, Versandbox, Behälter, Box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3BF804AA" w14:textId="38E3092B" w:rsidR="00665337" w:rsidRPr="00557BDC" w:rsidRDefault="00557BDC" w:rsidP="00D05935">
      <w:pPr>
        <w:textAlignment w:val="baseline"/>
        <w:rPr>
          <w:rFonts w:eastAsia="Times New Roman" w:cstheme="minorHAnsi"/>
          <w:i/>
          <w:iCs/>
          <w:bdr w:val="none" w:sz="0" w:space="0" w:color="auto" w:frame="1"/>
          <w:lang w:eastAsia="de-DE"/>
        </w:rPr>
      </w:pPr>
      <w:r w:rsidRPr="00557BDC">
        <w:rPr>
          <w:rFonts w:eastAsia="Times New Roman" w:cstheme="minorHAnsi"/>
          <w:i/>
          <w:iCs/>
          <w:bdr w:val="none" w:sz="0" w:space="0" w:color="auto" w:frame="1"/>
          <w:lang w:eastAsia="de-DE"/>
        </w:rPr>
        <w:t>Das Volumen kleiner CO</w:t>
      </w:r>
      <w:r w:rsidRPr="00557BDC">
        <w:rPr>
          <w:rFonts w:eastAsia="Times New Roman" w:cstheme="minorHAnsi"/>
          <w:i/>
          <w:iCs/>
          <w:bdr w:val="none" w:sz="0" w:space="0" w:color="auto" w:frame="1"/>
          <w:vertAlign w:val="subscript"/>
          <w:lang w:eastAsia="de-DE"/>
        </w:rPr>
        <w:t>2</w:t>
      </w:r>
      <w:r w:rsidRPr="00557BDC">
        <w:rPr>
          <w:rFonts w:eastAsia="Times New Roman" w:cstheme="minorHAnsi"/>
          <w:i/>
          <w:iCs/>
          <w:bdr w:val="none" w:sz="0" w:space="0" w:color="auto" w:frame="1"/>
          <w:lang w:eastAsia="de-DE"/>
        </w:rPr>
        <w:t xml:space="preserve">-Mengen lässt sich in eine bestimmte Anzahl von Umzugskartons umrechnen </w:t>
      </w:r>
      <w:r w:rsidRPr="00557BDC">
        <w:rPr>
          <w:rFonts w:cstheme="minorHAnsi"/>
          <w:i/>
          <w:iCs/>
        </w:rPr>
        <w:t xml:space="preserve">(Bild: </w:t>
      </w:r>
      <w:proofErr w:type="spellStart"/>
      <w:r w:rsidRPr="00557BDC">
        <w:rPr>
          <w:rFonts w:cstheme="minorHAnsi"/>
          <w:i/>
          <w:iCs/>
        </w:rPr>
        <w:t>Unsplash</w:t>
      </w:r>
      <w:proofErr w:type="spellEnd"/>
      <w:r w:rsidRPr="00557BDC">
        <w:rPr>
          <w:rFonts w:cstheme="minorHAnsi"/>
          <w:i/>
          <w:iCs/>
        </w:rPr>
        <w:t>/</w:t>
      </w:r>
      <w:proofErr w:type="spellStart"/>
      <w:r w:rsidRPr="00557BDC">
        <w:rPr>
          <w:rFonts w:cstheme="minorHAnsi"/>
          <w:i/>
          <w:iCs/>
        </w:rPr>
        <w:t>Kadarius</w:t>
      </w:r>
      <w:proofErr w:type="spellEnd"/>
      <w:r w:rsidRPr="00557BDC">
        <w:rPr>
          <w:rFonts w:cstheme="minorHAnsi"/>
          <w:i/>
          <w:iCs/>
        </w:rPr>
        <w:t xml:space="preserve"> </w:t>
      </w:r>
      <w:proofErr w:type="spellStart"/>
      <w:r w:rsidRPr="00557BDC">
        <w:rPr>
          <w:rFonts w:cstheme="minorHAnsi"/>
          <w:i/>
          <w:iCs/>
        </w:rPr>
        <w:t>Seegars</w:t>
      </w:r>
      <w:proofErr w:type="spellEnd"/>
      <w:r w:rsidRPr="00557BDC">
        <w:rPr>
          <w:rFonts w:cstheme="minorHAnsi"/>
          <w:i/>
          <w:iCs/>
        </w:rPr>
        <w:t>).</w:t>
      </w:r>
    </w:p>
    <w:p w14:paraId="0A55762C" w14:textId="50DB7C3E" w:rsidR="00D05935" w:rsidRPr="00D05935" w:rsidRDefault="00665337" w:rsidP="00D05935">
      <w:pPr>
        <w:textAlignment w:val="baseline"/>
        <w:rPr>
          <w:rFonts w:eastAsia="Times New Roman" w:cstheme="minorHAnsi"/>
          <w:color w:val="333333"/>
          <w:lang w:eastAsia="de-DE"/>
        </w:rPr>
      </w:pPr>
      <w:r>
        <w:rPr>
          <w:rFonts w:eastAsia="Times New Roman" w:cstheme="minorHAnsi"/>
          <w:b/>
          <w:bCs/>
          <w:color w:val="333333"/>
          <w:bdr w:val="none" w:sz="0" w:space="0" w:color="auto" w:frame="1"/>
          <w:lang w:eastAsia="de-DE"/>
        </w:rPr>
        <w:br/>
      </w:r>
      <w:r w:rsidR="00D05935" w:rsidRPr="00D05935">
        <w:rPr>
          <w:rFonts w:eastAsia="Times New Roman" w:cstheme="minorHAnsi"/>
          <w:b/>
          <w:bCs/>
          <w:color w:val="333333"/>
          <w:bdr w:val="none" w:sz="0" w:space="0" w:color="auto" w:frame="1"/>
          <w:lang w:eastAsia="de-DE"/>
        </w:rPr>
        <w:t>Umrechnen großer CO</w:t>
      </w:r>
      <w:r w:rsidR="00D05935" w:rsidRPr="00D05935">
        <w:rPr>
          <w:rFonts w:eastAsia="Times New Roman" w:cstheme="minorHAnsi"/>
          <w:b/>
          <w:bCs/>
          <w:color w:val="333333"/>
          <w:bdr w:val="none" w:sz="0" w:space="0" w:color="auto" w:frame="1"/>
          <w:vertAlign w:val="subscript"/>
          <w:lang w:eastAsia="de-DE"/>
        </w:rPr>
        <w:t>2</w:t>
      </w:r>
      <w:r w:rsidR="00D05935" w:rsidRPr="00D05935">
        <w:rPr>
          <w:rFonts w:eastAsia="Times New Roman" w:cstheme="minorHAnsi"/>
          <w:b/>
          <w:bCs/>
          <w:color w:val="333333"/>
          <w:bdr w:val="none" w:sz="0" w:space="0" w:color="auto" w:frame="1"/>
          <w:lang w:eastAsia="de-DE"/>
        </w:rPr>
        <w:t>-Mengen in Waldflächen</w:t>
      </w:r>
    </w:p>
    <w:p w14:paraId="0BA326FE" w14:textId="77777777" w:rsidR="00D05935" w:rsidRPr="00D05935" w:rsidRDefault="00D05935" w:rsidP="00D05935">
      <w:pPr>
        <w:textAlignment w:val="baseline"/>
        <w:rPr>
          <w:rFonts w:eastAsia="Times New Roman" w:cstheme="minorHAnsi"/>
          <w:color w:val="333333"/>
          <w:lang w:eastAsia="de-DE"/>
        </w:rPr>
      </w:pPr>
      <w:r w:rsidRPr="00D05935">
        <w:rPr>
          <w:rFonts w:eastAsia="Times New Roman" w:cstheme="minorHAnsi"/>
          <w:color w:val="333333"/>
          <w:lang w:eastAsia="de-DE"/>
        </w:rPr>
        <w:t>Die zweite Methode, Kohlendioxidmengen zu veranschaulichen, basiert auf dem Umstand, dass Wald CO</w:t>
      </w:r>
      <w:r w:rsidRPr="00D05935">
        <w:rPr>
          <w:rFonts w:eastAsia="Times New Roman" w:cstheme="minorHAnsi"/>
          <w:color w:val="333333"/>
          <w:bdr w:val="none" w:sz="0" w:space="0" w:color="auto" w:frame="1"/>
          <w:vertAlign w:val="subscript"/>
          <w:lang w:eastAsia="de-DE"/>
        </w:rPr>
        <w:t>2</w:t>
      </w:r>
      <w:r w:rsidRPr="00D05935">
        <w:rPr>
          <w:rFonts w:eastAsia="Times New Roman" w:cstheme="minorHAnsi"/>
          <w:color w:val="333333"/>
          <w:lang w:eastAsia="de-DE"/>
        </w:rPr>
        <w:t> speichert. Daher können (eingesparte) CO</w:t>
      </w:r>
      <w:r w:rsidRPr="00D05935">
        <w:rPr>
          <w:rFonts w:eastAsia="Times New Roman" w:cstheme="minorHAnsi"/>
          <w:color w:val="333333"/>
          <w:bdr w:val="none" w:sz="0" w:space="0" w:color="auto" w:frame="1"/>
          <w:vertAlign w:val="subscript"/>
          <w:lang w:eastAsia="de-DE"/>
        </w:rPr>
        <w:t>2</w:t>
      </w:r>
      <w:r w:rsidRPr="00D05935">
        <w:rPr>
          <w:rFonts w:eastAsia="Times New Roman" w:cstheme="minorHAnsi"/>
          <w:color w:val="333333"/>
          <w:lang w:eastAsia="de-DE"/>
        </w:rPr>
        <w:t>-Mengen auch in Waldflächenäquivalente umgerechnet werden.</w:t>
      </w:r>
    </w:p>
    <w:p w14:paraId="2DA4B22A" w14:textId="131DAB31" w:rsidR="002A48A5" w:rsidRDefault="00D05935" w:rsidP="00D05935">
      <w:pPr>
        <w:textAlignment w:val="baseline"/>
        <w:rPr>
          <w:rFonts w:eastAsia="Times New Roman" w:cstheme="minorHAnsi"/>
          <w:color w:val="333333"/>
          <w:lang w:eastAsia="de-DE"/>
        </w:rPr>
      </w:pPr>
      <w:r w:rsidRPr="00D05935">
        <w:rPr>
          <w:rFonts w:eastAsia="Times New Roman" w:cstheme="minorHAnsi"/>
          <w:color w:val="333333"/>
          <w:lang w:eastAsia="de-DE"/>
        </w:rPr>
        <w:t>Allerdings kursieren zum – sehr beliebten, weil sehr plastischen – Umrechnen von CO</w:t>
      </w:r>
      <w:r w:rsidRPr="00D05935">
        <w:rPr>
          <w:rFonts w:eastAsia="Times New Roman" w:cstheme="minorHAnsi"/>
          <w:color w:val="333333"/>
          <w:bdr w:val="none" w:sz="0" w:space="0" w:color="auto" w:frame="1"/>
          <w:vertAlign w:val="subscript"/>
          <w:lang w:eastAsia="de-DE"/>
        </w:rPr>
        <w:t>2</w:t>
      </w:r>
      <w:r w:rsidRPr="00D05935">
        <w:rPr>
          <w:rFonts w:eastAsia="Times New Roman" w:cstheme="minorHAnsi"/>
          <w:color w:val="333333"/>
          <w:lang w:eastAsia="de-DE"/>
        </w:rPr>
        <w:t xml:space="preserve">-Mengen in Waldflächen unterschiedliche Faktoren. Deshalb </w:t>
      </w:r>
      <w:r w:rsidR="003265E1">
        <w:rPr>
          <w:rFonts w:eastAsia="Times New Roman" w:cstheme="minorHAnsi"/>
          <w:color w:val="333333"/>
          <w:lang w:eastAsia="de-DE"/>
        </w:rPr>
        <w:t>haben wir</w:t>
      </w:r>
      <w:r w:rsidRPr="00D05935">
        <w:rPr>
          <w:rFonts w:eastAsia="Times New Roman" w:cstheme="minorHAnsi"/>
          <w:color w:val="333333"/>
          <w:lang w:eastAsia="de-DE"/>
        </w:rPr>
        <w:t xml:space="preserve"> das Johann Heinrich von Thünen-Institut konsultiert, um mit einer belastbaren Zahl rechnen zu können.</w:t>
      </w:r>
      <w:r w:rsidR="003265E1" w:rsidRPr="003265E1">
        <w:rPr>
          <w:rFonts w:eastAsia="Times New Roman" w:cstheme="minorHAnsi"/>
          <w:color w:val="333333"/>
          <w:vertAlign w:val="superscript"/>
          <w:lang w:eastAsia="de-DE"/>
        </w:rPr>
        <w:t>1)</w:t>
      </w:r>
      <w:r w:rsidRPr="00D05935">
        <w:rPr>
          <w:rFonts w:eastAsia="Times New Roman" w:cstheme="minorHAnsi"/>
          <w:color w:val="333333"/>
          <w:lang w:eastAsia="de-DE"/>
        </w:rPr>
        <w:t xml:space="preserve"> Dieses Institut zeichnet unter </w:t>
      </w:r>
      <w:r w:rsidRPr="00D05935">
        <w:rPr>
          <w:rFonts w:eastAsia="Times New Roman" w:cstheme="minorHAnsi"/>
          <w:color w:val="333333"/>
          <w:lang w:eastAsia="de-DE"/>
        </w:rPr>
        <w:lastRenderedPageBreak/>
        <w:t>anderem verantwortlich für das Erstellen des Nationalen Inventarberichts für das Umweltbundesamt (UBA), die von den Vertragsstaaten der Klimarahmenkonvention der Vereinten Nationen jährlich zu erstellende Bilanzierung der nationalen Treibhausgas-Emissionen. </w:t>
      </w:r>
      <w:r w:rsidR="003265E1">
        <w:rPr>
          <w:rFonts w:eastAsia="Times New Roman" w:cstheme="minorHAnsi"/>
          <w:color w:val="333333"/>
          <w:lang w:eastAsia="de-DE"/>
        </w:rPr>
        <w:t xml:space="preserve">Außerdem </w:t>
      </w:r>
      <w:r w:rsidR="002A48A5">
        <w:rPr>
          <w:rFonts w:eastAsia="Times New Roman" w:cstheme="minorHAnsi"/>
          <w:color w:val="333333"/>
          <w:lang w:eastAsia="de-DE"/>
        </w:rPr>
        <w:t>verantwortet das</w:t>
      </w:r>
      <w:r w:rsidR="003265E1">
        <w:rPr>
          <w:rFonts w:eastAsia="Times New Roman" w:cstheme="minorHAnsi"/>
          <w:color w:val="333333"/>
          <w:lang w:eastAsia="de-DE"/>
        </w:rPr>
        <w:t xml:space="preserve"> Thünen-Institut </w:t>
      </w:r>
      <w:r w:rsidR="002A48A5">
        <w:rPr>
          <w:rFonts w:eastAsia="Times New Roman" w:cstheme="minorHAnsi"/>
          <w:color w:val="333333"/>
          <w:lang w:eastAsia="de-DE"/>
        </w:rPr>
        <w:t>die Bundeswaldinventur, die alle zehn Jahre durchgeführt wird.</w:t>
      </w:r>
      <w:r w:rsidR="002A48A5">
        <w:rPr>
          <w:rFonts w:eastAsia="Times New Roman" w:cstheme="minorHAnsi"/>
          <w:vertAlign w:val="superscript"/>
          <w:lang w:eastAsia="de-DE"/>
        </w:rPr>
        <w:t>2</w:t>
      </w:r>
      <w:r w:rsidR="002A48A5" w:rsidRPr="00121D23">
        <w:rPr>
          <w:rFonts w:eastAsia="Times New Roman" w:cstheme="minorHAnsi"/>
          <w:vertAlign w:val="superscript"/>
          <w:lang w:eastAsia="de-DE"/>
        </w:rPr>
        <w:t>)</w:t>
      </w:r>
      <w:r w:rsidR="003265E1">
        <w:rPr>
          <w:rFonts w:eastAsia="Times New Roman" w:cstheme="minorHAnsi"/>
          <w:color w:val="333333"/>
          <w:lang w:eastAsia="de-DE"/>
        </w:rPr>
        <w:t xml:space="preserve"> </w:t>
      </w:r>
      <w:r w:rsidRPr="00D05935">
        <w:rPr>
          <w:rFonts w:eastAsia="Times New Roman" w:cstheme="minorHAnsi"/>
          <w:color w:val="333333"/>
          <w:lang w:eastAsia="de-DE"/>
        </w:rPr>
        <w:t xml:space="preserve">Laut Auskunft des Johann Heinrich </w:t>
      </w:r>
      <w:proofErr w:type="gramStart"/>
      <w:r w:rsidRPr="00D05935">
        <w:rPr>
          <w:rFonts w:eastAsia="Times New Roman" w:cstheme="minorHAnsi"/>
          <w:color w:val="333333"/>
          <w:lang w:eastAsia="de-DE"/>
        </w:rPr>
        <w:t>von Thünen-Instituts</w:t>
      </w:r>
      <w:proofErr w:type="gramEnd"/>
      <w:r w:rsidRPr="00D05935">
        <w:rPr>
          <w:rFonts w:eastAsia="Times New Roman" w:cstheme="minorHAnsi"/>
          <w:color w:val="333333"/>
          <w:lang w:eastAsia="de-DE"/>
        </w:rPr>
        <w:t xml:space="preserve"> entspricht eine (eingesparte) Tonne Kohlendioxid </w:t>
      </w:r>
      <w:r w:rsidR="00121D23">
        <w:rPr>
          <w:rFonts w:eastAsia="Times New Roman" w:cstheme="minorHAnsi"/>
          <w:color w:val="333333"/>
          <w:lang w:eastAsia="de-DE"/>
        </w:rPr>
        <w:t xml:space="preserve">derzeit </w:t>
      </w:r>
      <w:r w:rsidRPr="00D05935">
        <w:rPr>
          <w:rFonts w:eastAsia="Times New Roman" w:cstheme="minorHAnsi"/>
          <w:color w:val="333333"/>
          <w:lang w:eastAsia="de-DE"/>
        </w:rPr>
        <w:t xml:space="preserve">einer Waldfläche </w:t>
      </w:r>
      <w:r w:rsidRPr="00121D23">
        <w:rPr>
          <w:rFonts w:eastAsia="Times New Roman" w:cstheme="minorHAnsi"/>
          <w:lang w:eastAsia="de-DE"/>
        </w:rPr>
        <w:t>von 0,0011483 Quadratkilometern</w:t>
      </w:r>
      <w:r w:rsidRPr="00D05935">
        <w:rPr>
          <w:rFonts w:eastAsia="Times New Roman" w:cstheme="minorHAnsi"/>
          <w:color w:val="333333"/>
          <w:lang w:eastAsia="de-DE"/>
        </w:rPr>
        <w:t>.</w:t>
      </w:r>
    </w:p>
    <w:p w14:paraId="653BDEEE" w14:textId="2253D3F8" w:rsidR="00D05935" w:rsidRPr="00D05935" w:rsidRDefault="00D05935" w:rsidP="00D05935">
      <w:pPr>
        <w:textAlignment w:val="baseline"/>
        <w:rPr>
          <w:rFonts w:eastAsia="Times New Roman" w:cstheme="minorHAnsi"/>
          <w:color w:val="333333"/>
          <w:lang w:eastAsia="de-DE"/>
        </w:rPr>
      </w:pPr>
      <w:r w:rsidRPr="00D05935">
        <w:rPr>
          <w:rFonts w:eastAsia="Times New Roman" w:cstheme="minorHAnsi"/>
          <w:color w:val="333333"/>
          <w:lang w:eastAsia="de-DE"/>
        </w:rPr>
        <w:t>Für alle, die sich dafür interessieren, wie dieser Umrechnungsfaktor zustande kommt, sei der dazugehörige Rechenweg des Thünen-Instituts an dieser Stelle ebenfalls dargestellt. Ausgangspunkt dieses Rechenweges ist der jährliche Rohholz-Zuwachs des deutschlandweiten Durchschnittswaldes, der mit verschiedenen Umrechnungsfaktoren multipliziert wird, um die CO</w:t>
      </w:r>
      <w:r w:rsidRPr="00D05935">
        <w:rPr>
          <w:rFonts w:eastAsia="Times New Roman" w:cstheme="minorHAnsi"/>
          <w:color w:val="333333"/>
          <w:bdr w:val="none" w:sz="0" w:space="0" w:color="auto" w:frame="1"/>
          <w:vertAlign w:val="subscript"/>
          <w:lang w:eastAsia="de-DE"/>
        </w:rPr>
        <w:t>2</w:t>
      </w:r>
      <w:r w:rsidRPr="00D05935">
        <w:rPr>
          <w:rFonts w:eastAsia="Times New Roman" w:cstheme="minorHAnsi"/>
          <w:color w:val="333333"/>
          <w:lang w:eastAsia="de-DE"/>
        </w:rPr>
        <w:t>-Speicherleistung von einem Quadratkilometer Wald zu ermitteln; ausgehend von diesem Wert wird im letzten Schritt die Fläche berechnet, die einer Tonne CO</w:t>
      </w:r>
      <w:r w:rsidRPr="00D05935">
        <w:rPr>
          <w:rFonts w:eastAsia="Times New Roman" w:cstheme="minorHAnsi"/>
          <w:color w:val="333333"/>
          <w:bdr w:val="none" w:sz="0" w:space="0" w:color="auto" w:frame="1"/>
          <w:vertAlign w:val="subscript"/>
          <w:lang w:eastAsia="de-DE"/>
        </w:rPr>
        <w:t>2</w:t>
      </w:r>
      <w:r w:rsidRPr="00D05935">
        <w:rPr>
          <w:rFonts w:eastAsia="Times New Roman" w:cstheme="minorHAnsi"/>
          <w:color w:val="333333"/>
          <w:lang w:eastAsia="de-DE"/>
        </w:rPr>
        <w:t> entspricht.</w:t>
      </w:r>
    </w:p>
    <w:p w14:paraId="44E43F34" w14:textId="0FDC9295" w:rsidR="00D05935" w:rsidRPr="002A48A5" w:rsidRDefault="00D05935" w:rsidP="006647F0">
      <w:pPr>
        <w:pStyle w:val="Listenabsatz"/>
        <w:numPr>
          <w:ilvl w:val="0"/>
          <w:numId w:val="11"/>
        </w:numPr>
        <w:textAlignment w:val="baseline"/>
        <w:rPr>
          <w:rFonts w:eastAsia="Times New Roman" w:cstheme="minorHAnsi"/>
          <w:lang w:eastAsia="de-DE"/>
        </w:rPr>
      </w:pPr>
      <w:r w:rsidRPr="006647F0">
        <w:rPr>
          <w:rFonts w:eastAsia="Times New Roman" w:cstheme="minorHAnsi"/>
          <w:color w:val="333333"/>
          <w:lang w:eastAsia="de-DE"/>
        </w:rPr>
        <w:t xml:space="preserve">Laut </w:t>
      </w:r>
      <w:r w:rsidR="001D1A31">
        <w:rPr>
          <w:rFonts w:eastAsia="Times New Roman" w:cstheme="minorHAnsi"/>
          <w:color w:val="333333"/>
          <w:lang w:eastAsia="de-DE"/>
        </w:rPr>
        <w:t xml:space="preserve">der letzten </w:t>
      </w:r>
      <w:r w:rsidRPr="006647F0">
        <w:rPr>
          <w:rFonts w:eastAsia="Times New Roman" w:cstheme="minorHAnsi"/>
          <w:color w:val="333333"/>
          <w:lang w:eastAsia="de-DE"/>
        </w:rPr>
        <w:t xml:space="preserve">Bundeswaldinventur </w:t>
      </w:r>
      <w:r w:rsidR="00A1538F">
        <w:rPr>
          <w:rFonts w:eastAsia="Times New Roman" w:cstheme="minorHAnsi"/>
          <w:color w:val="333333"/>
          <w:lang w:eastAsia="de-DE"/>
        </w:rPr>
        <w:t xml:space="preserve">aus dem Jahr </w:t>
      </w:r>
      <w:r w:rsidRPr="00121D23">
        <w:rPr>
          <w:rFonts w:eastAsia="Times New Roman" w:cstheme="minorHAnsi"/>
          <w:lang w:eastAsia="de-DE"/>
        </w:rPr>
        <w:t>2012</w:t>
      </w:r>
      <w:r w:rsidR="00121D23">
        <w:rPr>
          <w:rFonts w:eastAsia="Times New Roman" w:cstheme="minorHAnsi"/>
          <w:lang w:eastAsia="de-DE"/>
        </w:rPr>
        <w:t xml:space="preserve"> </w:t>
      </w:r>
      <w:r w:rsidRPr="006647F0">
        <w:rPr>
          <w:rFonts w:eastAsia="Times New Roman" w:cstheme="minorHAnsi"/>
          <w:color w:val="333333"/>
          <w:lang w:eastAsia="de-DE"/>
        </w:rPr>
        <w:t xml:space="preserve">beträgt beim deutschlandweiten Durchschnittswald der jährliche </w:t>
      </w:r>
      <w:r w:rsidRPr="002A48A5">
        <w:rPr>
          <w:rFonts w:eastAsia="Times New Roman" w:cstheme="minorHAnsi"/>
          <w:lang w:eastAsia="de-DE"/>
        </w:rPr>
        <w:t>Zuwachs 11,23 m</w:t>
      </w:r>
      <w:r w:rsidRPr="002A48A5">
        <w:rPr>
          <w:rFonts w:eastAsia="Times New Roman" w:cstheme="minorHAnsi"/>
          <w:bdr w:val="none" w:sz="0" w:space="0" w:color="auto" w:frame="1"/>
          <w:vertAlign w:val="superscript"/>
          <w:lang w:eastAsia="de-DE"/>
        </w:rPr>
        <w:t>3</w:t>
      </w:r>
      <w:r w:rsidRPr="002A48A5">
        <w:rPr>
          <w:rFonts w:eastAsia="Times New Roman" w:cstheme="minorHAnsi"/>
          <w:lang w:eastAsia="de-DE"/>
        </w:rPr>
        <w:t> Rohholz pro Hektar.</w:t>
      </w:r>
    </w:p>
    <w:p w14:paraId="03599991" w14:textId="77777777" w:rsidR="00D05935" w:rsidRPr="002A48A5" w:rsidRDefault="00D05935" w:rsidP="006647F0">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Um zunächst die Masse dieser Volumenangabe zu berechnen, wird der Wert des jährlichen Zuwachses mit der Holzdichte multipliziert (0,45 Tonnen trockene Biomasse pro Kubikmeter Rohholz).</w:t>
      </w:r>
    </w:p>
    <w:p w14:paraId="1F6503D4" w14:textId="77777777" w:rsidR="00D05935" w:rsidRPr="002A48A5" w:rsidRDefault="00D05935" w:rsidP="006647F0">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Im nächsten Schritt wird durch einen weiteren Umrechnungsfaktor die Menge Kohlenstoff pro Tonne trockener Biomasse ermittelt; dieser Faktor beträgt 0,47 (t C/t trockene Biomasse).</w:t>
      </w:r>
    </w:p>
    <w:p w14:paraId="01509FAE" w14:textId="77777777" w:rsidR="00D05935" w:rsidRPr="002A48A5" w:rsidRDefault="00D05935" w:rsidP="006647F0">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Anschließend wird mithilfe des Verhältnisses der molekularen Massen von Kohlendioxid (44 g/</w:t>
      </w:r>
      <w:proofErr w:type="spellStart"/>
      <w:r w:rsidRPr="002A48A5">
        <w:rPr>
          <w:rFonts w:eastAsia="Times New Roman" w:cstheme="minorHAnsi"/>
          <w:lang w:eastAsia="de-DE"/>
        </w:rPr>
        <w:t>mol</w:t>
      </w:r>
      <w:proofErr w:type="spellEnd"/>
      <w:r w:rsidRPr="002A48A5">
        <w:rPr>
          <w:rFonts w:eastAsia="Times New Roman" w:cstheme="minorHAnsi"/>
          <w:lang w:eastAsia="de-DE"/>
        </w:rPr>
        <w:t>) und Kohlenstoff (12 g/</w:t>
      </w:r>
      <w:proofErr w:type="spellStart"/>
      <w:r w:rsidRPr="002A48A5">
        <w:rPr>
          <w:rFonts w:eastAsia="Times New Roman" w:cstheme="minorHAnsi"/>
          <w:lang w:eastAsia="de-DE"/>
        </w:rPr>
        <w:t>mol</w:t>
      </w:r>
      <w:proofErr w:type="spellEnd"/>
      <w:r w:rsidRPr="002A48A5">
        <w:rPr>
          <w:rFonts w:eastAsia="Times New Roman" w:cstheme="minorHAnsi"/>
          <w:lang w:eastAsia="de-DE"/>
        </w:rPr>
        <w:t>) berechnet, wie viel Tonnen Kohlendioxid einer Tonne Kohlenstoff entsprechen (3,67 t CO</w:t>
      </w:r>
      <w:r w:rsidRPr="002A48A5">
        <w:rPr>
          <w:rFonts w:eastAsia="Times New Roman" w:cstheme="minorHAnsi"/>
          <w:bdr w:val="none" w:sz="0" w:space="0" w:color="auto" w:frame="1"/>
          <w:vertAlign w:val="subscript"/>
          <w:lang w:eastAsia="de-DE"/>
        </w:rPr>
        <w:t>2</w:t>
      </w:r>
      <w:r w:rsidRPr="002A48A5">
        <w:rPr>
          <w:rFonts w:eastAsia="Times New Roman" w:cstheme="minorHAnsi"/>
          <w:lang w:eastAsia="de-DE"/>
        </w:rPr>
        <w:t>/t C).</w:t>
      </w:r>
    </w:p>
    <w:p w14:paraId="0D0A8A84" w14:textId="77777777" w:rsidR="00D05935" w:rsidRPr="002A48A5" w:rsidRDefault="00D05935" w:rsidP="006647F0">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Der letzte Umrechnungsfaktor berücksichtigt das Verhältnis der Flächeneinheiten Hektar und Quadratkilometer (100 ha/km</w:t>
      </w:r>
      <w:r w:rsidRPr="002A48A5">
        <w:rPr>
          <w:rFonts w:eastAsia="Times New Roman" w:cstheme="minorHAnsi"/>
          <w:bdr w:val="none" w:sz="0" w:space="0" w:color="auto" w:frame="1"/>
          <w:vertAlign w:val="superscript"/>
          <w:lang w:eastAsia="de-DE"/>
        </w:rPr>
        <w:t>2</w:t>
      </w:r>
      <w:r w:rsidRPr="002A48A5">
        <w:rPr>
          <w:rFonts w:eastAsia="Times New Roman" w:cstheme="minorHAnsi"/>
          <w:lang w:eastAsia="de-DE"/>
        </w:rPr>
        <w:t>); durch diesen Faktor wird der bisherige Wert, der sich auf einen Hektar bezieht, auf einen Quadratkilometer umgerechnet.</w:t>
      </w:r>
    </w:p>
    <w:p w14:paraId="13E00714" w14:textId="77777777" w:rsidR="002A48A5" w:rsidRPr="002A48A5" w:rsidRDefault="00D05935" w:rsidP="002A48A5">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Somit ergibt sich die folgende Gleichung:</w:t>
      </w:r>
      <w:r w:rsidRPr="002A48A5">
        <w:rPr>
          <w:rFonts w:eastAsia="Times New Roman" w:cstheme="minorHAnsi"/>
          <w:lang w:eastAsia="de-DE"/>
        </w:rPr>
        <w:br/>
        <w:t>11,23 m</w:t>
      </w:r>
      <w:r w:rsidRPr="002A48A5">
        <w:rPr>
          <w:rFonts w:eastAsia="Times New Roman" w:cstheme="minorHAnsi"/>
          <w:bdr w:val="none" w:sz="0" w:space="0" w:color="auto" w:frame="1"/>
          <w:vertAlign w:val="superscript"/>
          <w:lang w:eastAsia="de-DE"/>
        </w:rPr>
        <w:t>3</w:t>
      </w:r>
      <w:r w:rsidRPr="002A48A5">
        <w:rPr>
          <w:rFonts w:eastAsia="Times New Roman" w:cstheme="minorHAnsi"/>
          <w:lang w:eastAsia="de-DE"/>
        </w:rPr>
        <w:t xml:space="preserve">/ha </w:t>
      </w:r>
      <w:r w:rsidRPr="002A48A5">
        <w:rPr>
          <w:rFonts w:eastAsia="Times New Roman" w:cstheme="minorHAnsi"/>
          <w:sz w:val="16"/>
          <w:szCs w:val="16"/>
          <w:lang w:eastAsia="de-DE"/>
        </w:rPr>
        <w:t>*</w:t>
      </w:r>
      <w:r w:rsidRPr="002A48A5">
        <w:rPr>
          <w:rFonts w:eastAsia="Times New Roman" w:cstheme="minorHAnsi"/>
          <w:lang w:eastAsia="de-DE"/>
        </w:rPr>
        <w:t xml:space="preserve"> 0,45 t Biomasse/m</w:t>
      </w:r>
      <w:r w:rsidRPr="002A48A5">
        <w:rPr>
          <w:rFonts w:eastAsia="Times New Roman" w:cstheme="minorHAnsi"/>
          <w:bdr w:val="none" w:sz="0" w:space="0" w:color="auto" w:frame="1"/>
          <w:vertAlign w:val="superscript"/>
          <w:lang w:eastAsia="de-DE"/>
        </w:rPr>
        <w:t>3</w:t>
      </w:r>
      <w:r w:rsidRPr="002A48A5">
        <w:rPr>
          <w:rFonts w:eastAsia="Times New Roman" w:cstheme="minorHAnsi"/>
          <w:lang w:eastAsia="de-DE"/>
        </w:rPr>
        <w:t> </w:t>
      </w:r>
      <w:r w:rsidRPr="002A48A5">
        <w:rPr>
          <w:rFonts w:eastAsia="Times New Roman" w:cstheme="minorHAnsi"/>
          <w:sz w:val="16"/>
          <w:szCs w:val="16"/>
          <w:lang w:eastAsia="de-DE"/>
        </w:rPr>
        <w:t>*</w:t>
      </w:r>
      <w:r w:rsidRPr="002A48A5">
        <w:rPr>
          <w:rFonts w:eastAsia="Times New Roman" w:cstheme="minorHAnsi"/>
          <w:lang w:eastAsia="de-DE"/>
        </w:rPr>
        <w:t xml:space="preserve"> 0,47 t C/t Biomasse</w:t>
      </w:r>
      <w:r w:rsidR="002A48A5">
        <w:rPr>
          <w:rFonts w:eastAsia="Times New Roman" w:cstheme="minorHAnsi"/>
          <w:lang w:eastAsia="de-DE"/>
        </w:rPr>
        <w:t xml:space="preserve"> </w:t>
      </w:r>
      <w:r w:rsidRPr="002A48A5">
        <w:rPr>
          <w:rFonts w:eastAsia="Times New Roman" w:cstheme="minorHAnsi"/>
          <w:sz w:val="16"/>
          <w:szCs w:val="16"/>
          <w:lang w:eastAsia="de-DE"/>
        </w:rPr>
        <w:t>*</w:t>
      </w:r>
      <w:r w:rsidRPr="002A48A5">
        <w:rPr>
          <w:rFonts w:eastAsia="Times New Roman" w:cstheme="minorHAnsi"/>
          <w:lang w:eastAsia="de-DE"/>
        </w:rPr>
        <w:t xml:space="preserve"> 3,67 t CO</w:t>
      </w:r>
      <w:r w:rsidRPr="002A48A5">
        <w:rPr>
          <w:rFonts w:eastAsia="Times New Roman" w:cstheme="minorHAnsi"/>
          <w:bdr w:val="none" w:sz="0" w:space="0" w:color="auto" w:frame="1"/>
          <w:vertAlign w:val="subscript"/>
          <w:lang w:eastAsia="de-DE"/>
        </w:rPr>
        <w:t>2</w:t>
      </w:r>
      <w:r w:rsidRPr="002A48A5">
        <w:rPr>
          <w:rFonts w:eastAsia="Times New Roman" w:cstheme="minorHAnsi"/>
          <w:lang w:eastAsia="de-DE"/>
        </w:rPr>
        <w:t xml:space="preserve">/t C </w:t>
      </w:r>
      <w:r w:rsidRPr="002A48A5">
        <w:rPr>
          <w:rFonts w:eastAsia="Times New Roman" w:cstheme="minorHAnsi"/>
          <w:sz w:val="16"/>
          <w:szCs w:val="16"/>
          <w:lang w:eastAsia="de-DE"/>
        </w:rPr>
        <w:t>*</w:t>
      </w:r>
      <w:r w:rsidRPr="002A48A5">
        <w:rPr>
          <w:rFonts w:eastAsia="Times New Roman" w:cstheme="minorHAnsi"/>
          <w:lang w:eastAsia="de-DE"/>
        </w:rPr>
        <w:t xml:space="preserve"> 100 ha/km</w:t>
      </w:r>
      <w:r w:rsidRPr="002A48A5">
        <w:rPr>
          <w:rFonts w:eastAsia="Times New Roman" w:cstheme="minorHAnsi"/>
          <w:bdr w:val="none" w:sz="0" w:space="0" w:color="auto" w:frame="1"/>
          <w:vertAlign w:val="superscript"/>
          <w:lang w:eastAsia="de-DE"/>
        </w:rPr>
        <w:t>2</w:t>
      </w:r>
      <w:r w:rsidRPr="002A48A5">
        <w:rPr>
          <w:rFonts w:eastAsia="Times New Roman" w:cstheme="minorHAnsi"/>
          <w:lang w:eastAsia="de-DE"/>
        </w:rPr>
        <w:t> = 870,89 t CO</w:t>
      </w:r>
      <w:r w:rsidRPr="002A48A5">
        <w:rPr>
          <w:rFonts w:eastAsia="Times New Roman" w:cstheme="minorHAnsi"/>
          <w:bdr w:val="none" w:sz="0" w:space="0" w:color="auto" w:frame="1"/>
          <w:vertAlign w:val="subscript"/>
          <w:lang w:eastAsia="de-DE"/>
        </w:rPr>
        <w:t>2</w:t>
      </w:r>
      <w:r w:rsidRPr="002A48A5">
        <w:rPr>
          <w:rFonts w:eastAsia="Times New Roman" w:cstheme="minorHAnsi"/>
          <w:lang w:eastAsia="de-DE"/>
        </w:rPr>
        <w:t>/km</w:t>
      </w:r>
      <w:r w:rsidRPr="002A48A5">
        <w:rPr>
          <w:rFonts w:eastAsia="Times New Roman" w:cstheme="minorHAnsi"/>
          <w:bdr w:val="none" w:sz="0" w:space="0" w:color="auto" w:frame="1"/>
          <w:vertAlign w:val="superscript"/>
          <w:lang w:eastAsia="de-DE"/>
        </w:rPr>
        <w:t>2</w:t>
      </w:r>
    </w:p>
    <w:p w14:paraId="4218305C" w14:textId="16EDBAFE" w:rsidR="00D05935" w:rsidRPr="002A48A5" w:rsidRDefault="00D05935" w:rsidP="002A48A5">
      <w:pPr>
        <w:pStyle w:val="Listenabsatz"/>
        <w:numPr>
          <w:ilvl w:val="0"/>
          <w:numId w:val="11"/>
        </w:numPr>
        <w:textAlignment w:val="baseline"/>
        <w:rPr>
          <w:rFonts w:eastAsia="Times New Roman" w:cstheme="minorHAnsi"/>
          <w:lang w:eastAsia="de-DE"/>
        </w:rPr>
      </w:pPr>
      <w:r w:rsidRPr="002A48A5">
        <w:rPr>
          <w:rFonts w:eastAsia="Times New Roman" w:cstheme="minorHAnsi"/>
          <w:lang w:eastAsia="de-DE"/>
        </w:rPr>
        <w:t>Ein Quadratkilometer des deutschlandweiten Durchschnittswaldes speichert demnach 870,89 Tonnen Kohlendioxid pro Jahr; im mathematischen Umkehrschluss (1/870,89) bedeutet dies: 1 t CO</w:t>
      </w:r>
      <w:r w:rsidRPr="002A48A5">
        <w:rPr>
          <w:rFonts w:eastAsia="Times New Roman" w:cstheme="minorHAnsi"/>
          <w:bdr w:val="none" w:sz="0" w:space="0" w:color="auto" w:frame="1"/>
          <w:vertAlign w:val="subscript"/>
          <w:lang w:eastAsia="de-DE"/>
        </w:rPr>
        <w:t>2</w:t>
      </w:r>
      <w:r w:rsidRPr="002A48A5">
        <w:rPr>
          <w:rFonts w:eastAsia="Times New Roman" w:cstheme="minorHAnsi"/>
          <w:lang w:eastAsia="de-DE"/>
        </w:rPr>
        <w:t> entspricht einer Waldfläche von 0,0011483 km</w:t>
      </w:r>
      <w:r w:rsidRPr="002A48A5">
        <w:rPr>
          <w:rFonts w:eastAsia="Times New Roman" w:cstheme="minorHAnsi"/>
          <w:bdr w:val="none" w:sz="0" w:space="0" w:color="auto" w:frame="1"/>
          <w:vertAlign w:val="superscript"/>
          <w:lang w:eastAsia="de-DE"/>
        </w:rPr>
        <w:t>2</w:t>
      </w:r>
      <w:r w:rsidRPr="002A48A5">
        <w:rPr>
          <w:rFonts w:eastAsia="Times New Roman" w:cstheme="minorHAnsi"/>
          <w:lang w:eastAsia="de-DE"/>
        </w:rPr>
        <w:t>.</w:t>
      </w:r>
    </w:p>
    <w:p w14:paraId="6F2FCDC6" w14:textId="313E712D" w:rsidR="00665337" w:rsidRPr="00665337" w:rsidRDefault="006647F0" w:rsidP="00557BDC">
      <w:pPr>
        <w:pStyle w:val="StandardWeb"/>
        <w:spacing w:before="0" w:beforeAutospacing="0" w:after="160" w:afterAutospacing="0" w:line="259" w:lineRule="auto"/>
        <w:jc w:val="both"/>
        <w:textAlignment w:val="baseline"/>
        <w:rPr>
          <w:rFonts w:asciiTheme="minorHAnsi" w:hAnsiTheme="minorHAnsi" w:cstheme="minorHAnsi"/>
          <w:color w:val="FF0000"/>
          <w:sz w:val="22"/>
          <w:szCs w:val="22"/>
        </w:rPr>
      </w:pPr>
      <w:r>
        <w:rPr>
          <w:rFonts w:asciiTheme="minorHAnsi" w:hAnsiTheme="minorHAnsi" w:cstheme="minorHAnsi"/>
          <w:color w:val="333333"/>
          <w:sz w:val="22"/>
          <w:szCs w:val="22"/>
        </w:rPr>
        <w:lastRenderedPageBreak/>
        <w:br/>
      </w:r>
      <w:r w:rsidR="00A1538F">
        <w:rPr>
          <w:rFonts w:asciiTheme="minorHAnsi" w:hAnsiTheme="minorHAnsi" w:cstheme="minorHAnsi"/>
          <w:noProof/>
          <w:color w:val="FF0000"/>
          <w:sz w:val="22"/>
          <w:szCs w:val="22"/>
        </w:rPr>
        <w:drawing>
          <wp:inline distT="0" distB="0" distL="0" distR="0" wp14:anchorId="4388A21D" wp14:editId="0AC5A63C">
            <wp:extent cx="5760720" cy="3240405"/>
            <wp:effectExtent l="0" t="0" r="0" b="0"/>
            <wp:docPr id="1706424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2452"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D72D660" w14:textId="321FEEE5" w:rsidR="00665337" w:rsidRPr="00A1538F" w:rsidRDefault="00A1538F" w:rsidP="00D05935">
      <w:pPr>
        <w:pStyle w:val="StandardWeb"/>
        <w:spacing w:before="0" w:beforeAutospacing="0" w:after="160" w:afterAutospacing="0" w:line="259" w:lineRule="auto"/>
        <w:textAlignment w:val="baseline"/>
        <w:rPr>
          <w:rFonts w:asciiTheme="minorHAnsi" w:hAnsiTheme="minorHAnsi" w:cstheme="minorHAnsi"/>
          <w:b/>
          <w:bCs/>
          <w:sz w:val="22"/>
          <w:szCs w:val="22"/>
        </w:rPr>
      </w:pPr>
      <w:r w:rsidRPr="00A1538F">
        <w:rPr>
          <w:rFonts w:asciiTheme="minorHAnsi" w:hAnsiTheme="minorHAnsi" w:cstheme="minorHAnsi"/>
          <w:i/>
          <w:iCs/>
          <w:sz w:val="22"/>
          <w:szCs w:val="22"/>
        </w:rPr>
        <w:t>Größere CO</w:t>
      </w:r>
      <w:r w:rsidRPr="00A1538F">
        <w:rPr>
          <w:rFonts w:asciiTheme="minorHAnsi" w:hAnsiTheme="minorHAnsi" w:cstheme="minorHAnsi"/>
          <w:i/>
          <w:iCs/>
          <w:sz w:val="22"/>
          <w:szCs w:val="22"/>
          <w:vertAlign w:val="subscript"/>
        </w:rPr>
        <w:t>2</w:t>
      </w:r>
      <w:r w:rsidRPr="00A1538F">
        <w:rPr>
          <w:rFonts w:asciiTheme="minorHAnsi" w:hAnsiTheme="minorHAnsi" w:cstheme="minorHAnsi"/>
          <w:i/>
          <w:iCs/>
          <w:sz w:val="22"/>
          <w:szCs w:val="22"/>
        </w:rPr>
        <w:t xml:space="preserve">-Mengen lassen sich mithilfe </w:t>
      </w:r>
      <w:r>
        <w:rPr>
          <w:rFonts w:asciiTheme="minorHAnsi" w:hAnsiTheme="minorHAnsi" w:cstheme="minorHAnsi"/>
          <w:i/>
          <w:iCs/>
          <w:sz w:val="22"/>
          <w:szCs w:val="22"/>
        </w:rPr>
        <w:t>eines</w:t>
      </w:r>
      <w:r w:rsidRPr="00A1538F">
        <w:rPr>
          <w:rFonts w:asciiTheme="minorHAnsi" w:hAnsiTheme="minorHAnsi" w:cstheme="minorHAnsi"/>
          <w:i/>
          <w:iCs/>
          <w:sz w:val="22"/>
          <w:szCs w:val="22"/>
        </w:rPr>
        <w:t xml:space="preserve"> Umrechnungsfaktors des Thünen-Instituts in Waldflächen</w:t>
      </w:r>
      <w:r>
        <w:rPr>
          <w:rFonts w:asciiTheme="minorHAnsi" w:hAnsiTheme="minorHAnsi" w:cstheme="minorHAnsi"/>
          <w:i/>
          <w:iCs/>
          <w:sz w:val="22"/>
          <w:szCs w:val="22"/>
        </w:rPr>
        <w:t>äquivalente</w:t>
      </w:r>
      <w:r w:rsidRPr="00A1538F">
        <w:rPr>
          <w:rFonts w:asciiTheme="minorHAnsi" w:hAnsiTheme="minorHAnsi" w:cstheme="minorHAnsi"/>
          <w:i/>
          <w:iCs/>
          <w:sz w:val="22"/>
          <w:szCs w:val="22"/>
        </w:rPr>
        <w:t xml:space="preserve"> umrechnen (Bild: </w:t>
      </w:r>
      <w:proofErr w:type="spellStart"/>
      <w:r w:rsidRPr="00A1538F">
        <w:rPr>
          <w:rFonts w:asciiTheme="minorHAnsi" w:hAnsiTheme="minorHAnsi" w:cstheme="minorHAnsi"/>
          <w:i/>
          <w:iCs/>
          <w:sz w:val="22"/>
          <w:szCs w:val="22"/>
        </w:rPr>
        <w:t>Pixabay</w:t>
      </w:r>
      <w:proofErr w:type="spellEnd"/>
      <w:r w:rsidRPr="00A1538F">
        <w:rPr>
          <w:rFonts w:asciiTheme="minorHAnsi" w:hAnsiTheme="minorHAnsi" w:cstheme="minorHAnsi"/>
          <w:i/>
          <w:iCs/>
          <w:sz w:val="22"/>
          <w:szCs w:val="22"/>
        </w:rPr>
        <w:t>/</w:t>
      </w:r>
      <w:proofErr w:type="spellStart"/>
      <w:r w:rsidRPr="00A1538F">
        <w:rPr>
          <w:rFonts w:asciiTheme="minorHAnsi" w:hAnsiTheme="minorHAnsi" w:cstheme="minorHAnsi"/>
          <w:i/>
          <w:iCs/>
          <w:sz w:val="22"/>
          <w:szCs w:val="22"/>
        </w:rPr>
        <w:t>jplenio</w:t>
      </w:r>
      <w:proofErr w:type="spellEnd"/>
      <w:r w:rsidRPr="00A1538F">
        <w:rPr>
          <w:rFonts w:asciiTheme="minorHAnsi" w:hAnsiTheme="minorHAnsi" w:cstheme="minorHAnsi"/>
          <w:i/>
          <w:iCs/>
          <w:sz w:val="22"/>
          <w:szCs w:val="22"/>
        </w:rPr>
        <w:t>).</w:t>
      </w:r>
      <w:r w:rsidR="00665337" w:rsidRPr="00A1538F">
        <w:rPr>
          <w:rFonts w:asciiTheme="minorHAnsi" w:hAnsiTheme="minorHAnsi" w:cstheme="minorHAnsi"/>
          <w:b/>
          <w:bCs/>
          <w:sz w:val="22"/>
          <w:szCs w:val="22"/>
        </w:rPr>
        <w:br/>
      </w:r>
    </w:p>
    <w:p w14:paraId="77A22F7B" w14:textId="3B5FE389" w:rsidR="004246E3" w:rsidRPr="004246E3" w:rsidRDefault="00665337" w:rsidP="00D05935">
      <w:pPr>
        <w:pStyle w:val="StandardWeb"/>
        <w:spacing w:before="0" w:beforeAutospacing="0" w:after="160" w:afterAutospacing="0" w:line="259" w:lineRule="auto"/>
        <w:textAlignment w:val="baseline"/>
        <w:rPr>
          <w:rFonts w:asciiTheme="minorHAnsi" w:hAnsiTheme="minorHAnsi" w:cstheme="minorHAnsi"/>
          <w:b/>
          <w:bCs/>
          <w:color w:val="333333"/>
          <w:sz w:val="22"/>
          <w:szCs w:val="22"/>
        </w:rPr>
      </w:pPr>
      <w:r>
        <w:rPr>
          <w:rFonts w:asciiTheme="minorHAnsi" w:hAnsiTheme="minorHAnsi" w:cstheme="minorHAnsi"/>
          <w:b/>
          <w:bCs/>
          <w:color w:val="333333"/>
          <w:sz w:val="22"/>
          <w:szCs w:val="22"/>
        </w:rPr>
        <w:t xml:space="preserve">Tipp: </w:t>
      </w:r>
      <w:r w:rsidR="004246E3">
        <w:rPr>
          <w:rFonts w:asciiTheme="minorHAnsi" w:hAnsiTheme="minorHAnsi" w:cstheme="minorHAnsi"/>
          <w:b/>
          <w:bCs/>
          <w:color w:val="333333"/>
          <w:sz w:val="22"/>
          <w:szCs w:val="22"/>
        </w:rPr>
        <w:t xml:space="preserve">Ergänzen einer </w:t>
      </w:r>
      <w:r>
        <w:rPr>
          <w:rFonts w:asciiTheme="minorHAnsi" w:hAnsiTheme="minorHAnsi" w:cstheme="minorHAnsi"/>
          <w:b/>
          <w:bCs/>
          <w:color w:val="333333"/>
          <w:sz w:val="22"/>
          <w:szCs w:val="22"/>
        </w:rPr>
        <w:t xml:space="preserve">geeigneten </w:t>
      </w:r>
      <w:r w:rsidR="00A1538F">
        <w:rPr>
          <w:rFonts w:asciiTheme="minorHAnsi" w:hAnsiTheme="minorHAnsi" w:cstheme="minorHAnsi"/>
          <w:b/>
          <w:bCs/>
          <w:color w:val="333333"/>
          <w:sz w:val="22"/>
          <w:szCs w:val="22"/>
        </w:rPr>
        <w:t>Bezugs</w:t>
      </w:r>
      <w:r>
        <w:rPr>
          <w:rFonts w:asciiTheme="minorHAnsi" w:hAnsiTheme="minorHAnsi" w:cstheme="minorHAnsi"/>
          <w:b/>
          <w:bCs/>
          <w:color w:val="333333"/>
          <w:sz w:val="22"/>
          <w:szCs w:val="22"/>
        </w:rPr>
        <w:t>g</w:t>
      </w:r>
      <w:r w:rsidR="004246E3">
        <w:rPr>
          <w:rFonts w:asciiTheme="minorHAnsi" w:hAnsiTheme="minorHAnsi" w:cstheme="minorHAnsi"/>
          <w:b/>
          <w:bCs/>
          <w:color w:val="333333"/>
          <w:sz w:val="22"/>
          <w:szCs w:val="22"/>
        </w:rPr>
        <w:t>röße</w:t>
      </w:r>
    </w:p>
    <w:p w14:paraId="769FE118" w14:textId="2EEFCEA5" w:rsidR="00D05935" w:rsidRPr="00D05935" w:rsidRDefault="00D05935" w:rsidP="00D05935">
      <w:pPr>
        <w:pStyle w:val="StandardWeb"/>
        <w:spacing w:before="0" w:beforeAutospacing="0" w:after="160" w:afterAutospacing="0" w:line="259" w:lineRule="auto"/>
        <w:textAlignment w:val="baseline"/>
        <w:rPr>
          <w:rFonts w:asciiTheme="minorHAnsi" w:hAnsiTheme="minorHAnsi" w:cstheme="minorHAnsi"/>
          <w:color w:val="333333"/>
          <w:sz w:val="22"/>
          <w:szCs w:val="22"/>
        </w:rPr>
      </w:pPr>
      <w:r w:rsidRPr="00D05935">
        <w:rPr>
          <w:rFonts w:asciiTheme="minorHAnsi" w:hAnsiTheme="minorHAnsi" w:cstheme="minorHAnsi"/>
          <w:color w:val="333333"/>
          <w:sz w:val="22"/>
          <w:szCs w:val="22"/>
        </w:rPr>
        <w:t xml:space="preserve">Zum Abschluss noch ein weiterer Tipp: Da Flächenangaben in Quadratkilometern das menschliche Vorstellungsvermögen ebenfalls schnell überfordern, empfiehlt es sich, die jeweils ermittelte Fläche durch eine Referenzgröße zu ergänzen und/oder sie in eine aussagekräftige Größe umzurechnen, beispielsweise in Fußballfelder </w:t>
      </w:r>
      <w:r w:rsidR="0034776C">
        <w:rPr>
          <w:rFonts w:asciiTheme="minorHAnsi" w:hAnsiTheme="minorHAnsi" w:cstheme="minorHAnsi"/>
          <w:color w:val="333333"/>
          <w:sz w:val="22"/>
          <w:szCs w:val="22"/>
        </w:rPr>
        <w:t>und/oder eine örtliche Parkanlage.</w:t>
      </w:r>
      <w:r w:rsidR="0034776C" w:rsidRPr="0034776C">
        <w:rPr>
          <w:rFonts w:asciiTheme="minorHAnsi" w:hAnsiTheme="minorHAnsi" w:cstheme="minorHAnsi"/>
          <w:color w:val="333333"/>
          <w:sz w:val="22"/>
          <w:szCs w:val="22"/>
          <w:vertAlign w:val="superscript"/>
        </w:rPr>
        <w:t>3)</w:t>
      </w:r>
    </w:p>
    <w:p w14:paraId="71975A0C" w14:textId="544DB652" w:rsidR="00D05935" w:rsidRPr="004246E3" w:rsidRDefault="00D05935" w:rsidP="00D05935">
      <w:pPr>
        <w:pStyle w:val="StandardWeb"/>
        <w:spacing w:before="0" w:beforeAutospacing="0" w:after="160" w:afterAutospacing="0" w:line="259" w:lineRule="auto"/>
        <w:textAlignment w:val="baseline"/>
        <w:rPr>
          <w:rFonts w:asciiTheme="minorHAnsi" w:hAnsiTheme="minorHAnsi" w:cstheme="minorHAnsi"/>
          <w:sz w:val="22"/>
          <w:szCs w:val="22"/>
        </w:rPr>
      </w:pPr>
      <w:r w:rsidRPr="00D05935">
        <w:rPr>
          <w:rFonts w:asciiTheme="minorHAnsi" w:hAnsiTheme="minorHAnsi" w:cstheme="minorHAnsi"/>
          <w:color w:val="333333"/>
          <w:sz w:val="22"/>
          <w:szCs w:val="22"/>
        </w:rPr>
        <w:t xml:space="preserve">Ein </w:t>
      </w:r>
      <w:r w:rsidRPr="004246E3">
        <w:rPr>
          <w:rFonts w:asciiTheme="minorHAnsi" w:hAnsiTheme="minorHAnsi" w:cstheme="minorHAnsi"/>
          <w:sz w:val="22"/>
          <w:szCs w:val="22"/>
        </w:rPr>
        <w:t xml:space="preserve">Beispiel: Die Beschäftigten </w:t>
      </w:r>
      <w:r w:rsidR="002A48A5" w:rsidRPr="004246E3">
        <w:rPr>
          <w:rFonts w:asciiTheme="minorHAnsi" w:hAnsiTheme="minorHAnsi" w:cstheme="minorHAnsi"/>
          <w:sz w:val="22"/>
          <w:szCs w:val="22"/>
        </w:rPr>
        <w:t>des LANUV NRW</w:t>
      </w:r>
      <w:r w:rsidRPr="004246E3">
        <w:rPr>
          <w:rFonts w:asciiTheme="minorHAnsi" w:hAnsiTheme="minorHAnsi" w:cstheme="minorHAnsi"/>
          <w:sz w:val="22"/>
          <w:szCs w:val="22"/>
        </w:rPr>
        <w:t xml:space="preserve"> haben den Stromverbrauch </w:t>
      </w:r>
      <w:r w:rsidR="002A48A5" w:rsidRPr="004246E3">
        <w:rPr>
          <w:rFonts w:asciiTheme="minorHAnsi" w:hAnsiTheme="minorHAnsi" w:cstheme="minorHAnsi"/>
          <w:sz w:val="22"/>
          <w:szCs w:val="22"/>
        </w:rPr>
        <w:t xml:space="preserve">am Standort Essen </w:t>
      </w:r>
      <w:r w:rsidRPr="004246E3">
        <w:rPr>
          <w:rFonts w:asciiTheme="minorHAnsi" w:hAnsiTheme="minorHAnsi" w:cstheme="minorHAnsi"/>
          <w:sz w:val="22"/>
          <w:szCs w:val="22"/>
        </w:rPr>
        <w:t xml:space="preserve">im </w:t>
      </w:r>
      <w:r w:rsidR="002A48A5" w:rsidRPr="004246E3">
        <w:rPr>
          <w:rFonts w:asciiTheme="minorHAnsi" w:hAnsiTheme="minorHAnsi" w:cstheme="minorHAnsi"/>
          <w:sz w:val="22"/>
          <w:szCs w:val="22"/>
        </w:rPr>
        <w:t>Vier</w:t>
      </w:r>
      <w:r w:rsidRPr="004246E3">
        <w:rPr>
          <w:rFonts w:asciiTheme="minorHAnsi" w:hAnsiTheme="minorHAnsi" w:cstheme="minorHAnsi"/>
          <w:sz w:val="22"/>
          <w:szCs w:val="22"/>
        </w:rPr>
        <w:t>jahreszeitraum 20</w:t>
      </w:r>
      <w:r w:rsidR="002A48A5" w:rsidRPr="004246E3">
        <w:rPr>
          <w:rFonts w:asciiTheme="minorHAnsi" w:hAnsiTheme="minorHAnsi" w:cstheme="minorHAnsi"/>
          <w:sz w:val="22"/>
          <w:szCs w:val="22"/>
        </w:rPr>
        <w:t>14</w:t>
      </w:r>
      <w:r w:rsidRPr="004246E3">
        <w:rPr>
          <w:rFonts w:asciiTheme="minorHAnsi" w:hAnsiTheme="minorHAnsi" w:cstheme="minorHAnsi"/>
          <w:sz w:val="22"/>
          <w:szCs w:val="22"/>
        </w:rPr>
        <w:t>-201</w:t>
      </w:r>
      <w:r w:rsidR="002A48A5" w:rsidRPr="004246E3">
        <w:rPr>
          <w:rFonts w:asciiTheme="minorHAnsi" w:hAnsiTheme="minorHAnsi" w:cstheme="minorHAnsi"/>
          <w:sz w:val="22"/>
          <w:szCs w:val="22"/>
        </w:rPr>
        <w:t>7</w:t>
      </w:r>
      <w:r w:rsidRPr="004246E3">
        <w:rPr>
          <w:rFonts w:asciiTheme="minorHAnsi" w:hAnsiTheme="minorHAnsi" w:cstheme="minorHAnsi"/>
          <w:sz w:val="22"/>
          <w:szCs w:val="22"/>
        </w:rPr>
        <w:t xml:space="preserve"> um insgesamt </w:t>
      </w:r>
      <w:r w:rsidR="002A48A5" w:rsidRPr="004246E3">
        <w:rPr>
          <w:rFonts w:asciiTheme="minorHAnsi" w:hAnsiTheme="minorHAnsi" w:cstheme="minorHAnsi"/>
          <w:sz w:val="22"/>
          <w:szCs w:val="22"/>
        </w:rPr>
        <w:t>1,31</w:t>
      </w:r>
      <w:r w:rsidRPr="004246E3">
        <w:rPr>
          <w:rFonts w:asciiTheme="minorHAnsi" w:hAnsiTheme="minorHAnsi" w:cstheme="minorHAnsi"/>
          <w:sz w:val="22"/>
          <w:szCs w:val="22"/>
        </w:rPr>
        <w:t xml:space="preserve"> Millionen Kilowattstunden gesenkt, hierdurch reduzierten sie die CO</w:t>
      </w:r>
      <w:r w:rsidRPr="004246E3">
        <w:rPr>
          <w:rFonts w:asciiTheme="minorHAnsi" w:hAnsiTheme="minorHAnsi" w:cstheme="minorHAnsi"/>
          <w:sz w:val="22"/>
          <w:szCs w:val="22"/>
          <w:bdr w:val="none" w:sz="0" w:space="0" w:color="auto" w:frame="1"/>
          <w:vertAlign w:val="subscript"/>
        </w:rPr>
        <w:t>2</w:t>
      </w:r>
      <w:r w:rsidRPr="004246E3">
        <w:rPr>
          <w:rFonts w:asciiTheme="minorHAnsi" w:hAnsiTheme="minorHAnsi" w:cstheme="minorHAnsi"/>
          <w:sz w:val="22"/>
          <w:szCs w:val="22"/>
        </w:rPr>
        <w:t xml:space="preserve">-Emissionen um </w:t>
      </w:r>
      <w:r w:rsidR="002A48A5" w:rsidRPr="004246E3">
        <w:rPr>
          <w:rFonts w:asciiTheme="minorHAnsi" w:hAnsiTheme="minorHAnsi" w:cstheme="minorHAnsi"/>
          <w:sz w:val="22"/>
          <w:szCs w:val="22"/>
        </w:rPr>
        <w:t>etwa 700</w:t>
      </w:r>
      <w:r w:rsidRPr="004246E3">
        <w:rPr>
          <w:rFonts w:asciiTheme="minorHAnsi" w:hAnsiTheme="minorHAnsi" w:cstheme="minorHAnsi"/>
          <w:sz w:val="22"/>
          <w:szCs w:val="22"/>
        </w:rPr>
        <w:t xml:space="preserve"> Tonnen; dies entspricht einer Waldfläche von </w:t>
      </w:r>
      <w:r w:rsidR="004246E3" w:rsidRPr="004246E3">
        <w:rPr>
          <w:rFonts w:asciiTheme="minorHAnsi" w:hAnsiTheme="minorHAnsi" w:cstheme="minorHAnsi"/>
          <w:sz w:val="22"/>
          <w:szCs w:val="22"/>
        </w:rPr>
        <w:t>0</w:t>
      </w:r>
      <w:r w:rsidRPr="004246E3">
        <w:rPr>
          <w:rFonts w:asciiTheme="minorHAnsi" w:hAnsiTheme="minorHAnsi" w:cstheme="minorHAnsi"/>
          <w:sz w:val="22"/>
          <w:szCs w:val="22"/>
        </w:rPr>
        <w:t xml:space="preserve">,8 Quadratkilometern bzw. </w:t>
      </w:r>
      <w:r w:rsidR="002C2A2F">
        <w:rPr>
          <w:rFonts w:asciiTheme="minorHAnsi" w:hAnsiTheme="minorHAnsi" w:cstheme="minorHAnsi"/>
          <w:sz w:val="22"/>
          <w:szCs w:val="22"/>
        </w:rPr>
        <w:t>knapp</w:t>
      </w:r>
      <w:r w:rsidR="00796E8A">
        <w:rPr>
          <w:rFonts w:asciiTheme="minorHAnsi" w:hAnsiTheme="minorHAnsi" w:cstheme="minorHAnsi"/>
          <w:sz w:val="22"/>
          <w:szCs w:val="22"/>
        </w:rPr>
        <w:t xml:space="preserve"> </w:t>
      </w:r>
      <w:r w:rsidR="004246E3" w:rsidRPr="004246E3">
        <w:rPr>
          <w:rFonts w:asciiTheme="minorHAnsi" w:hAnsiTheme="minorHAnsi" w:cstheme="minorHAnsi"/>
          <w:sz w:val="22"/>
          <w:szCs w:val="22"/>
        </w:rPr>
        <w:t>11</w:t>
      </w:r>
      <w:r w:rsidR="002C2A2F">
        <w:rPr>
          <w:rFonts w:asciiTheme="minorHAnsi" w:hAnsiTheme="minorHAnsi" w:cstheme="minorHAnsi"/>
          <w:sz w:val="22"/>
          <w:szCs w:val="22"/>
        </w:rPr>
        <w:t>3</w:t>
      </w:r>
      <w:r w:rsidRPr="004246E3">
        <w:rPr>
          <w:rFonts w:asciiTheme="minorHAnsi" w:hAnsiTheme="minorHAnsi" w:cstheme="minorHAnsi"/>
          <w:sz w:val="22"/>
          <w:szCs w:val="22"/>
        </w:rPr>
        <w:t xml:space="preserve"> Fußballfeldern</w:t>
      </w:r>
      <w:r w:rsidR="004246E3">
        <w:rPr>
          <w:rFonts w:asciiTheme="minorHAnsi" w:hAnsiTheme="minorHAnsi" w:cstheme="minorHAnsi"/>
          <w:sz w:val="22"/>
          <w:szCs w:val="22"/>
        </w:rPr>
        <w:t>. Zum Vergleich: Die Größe des Grugaparks in Essen beträgt etwa 60 Hektar bzw. 0,6 Quadratkilometer.</w:t>
      </w:r>
    </w:p>
    <w:p w14:paraId="0B50A0A0" w14:textId="77777777" w:rsidR="00121D23" w:rsidRDefault="00121D23" w:rsidP="0025022A">
      <w:pPr>
        <w:rPr>
          <w:rStyle w:val="normaltextrun"/>
          <w:rFonts w:cstheme="minorHAnsi"/>
          <w:color w:val="000000"/>
          <w:shd w:val="clear" w:color="auto" w:fill="FFFFFF"/>
        </w:rPr>
      </w:pPr>
    </w:p>
    <w:p w14:paraId="318C9EE1" w14:textId="440AA0B0" w:rsidR="00121D23" w:rsidRDefault="00121D23" w:rsidP="0025022A">
      <w:pPr>
        <w:rPr>
          <w:rStyle w:val="normaltextrun"/>
          <w:rFonts w:cstheme="minorHAnsi"/>
          <w:color w:val="000000"/>
          <w:shd w:val="clear" w:color="auto" w:fill="FFFFFF"/>
        </w:rPr>
      </w:pPr>
      <w:r>
        <w:rPr>
          <w:rStyle w:val="normaltextrun"/>
          <w:rFonts w:cstheme="minorHAnsi"/>
          <w:color w:val="000000"/>
          <w:shd w:val="clear" w:color="auto" w:fill="FFFFFF"/>
        </w:rPr>
        <w:t>Anmerkung</w:t>
      </w:r>
      <w:r w:rsidR="003265E1">
        <w:rPr>
          <w:rStyle w:val="normaltextrun"/>
          <w:rFonts w:cstheme="minorHAnsi"/>
          <w:color w:val="000000"/>
          <w:shd w:val="clear" w:color="auto" w:fill="FFFFFF"/>
        </w:rPr>
        <w:t>en</w:t>
      </w:r>
    </w:p>
    <w:p w14:paraId="7804C260" w14:textId="164571E7" w:rsidR="003265E1" w:rsidRDefault="00121D23" w:rsidP="003265E1">
      <w:pPr>
        <w:rPr>
          <w:rStyle w:val="normaltextrun"/>
          <w:rFonts w:cstheme="minorHAnsi"/>
          <w:color w:val="000000"/>
          <w:shd w:val="clear" w:color="auto" w:fill="FFFFFF"/>
        </w:rPr>
      </w:pPr>
      <w:r w:rsidRPr="00121D23">
        <w:rPr>
          <w:rStyle w:val="normaltextrun"/>
          <w:rFonts w:cstheme="minorHAnsi"/>
          <w:color w:val="000000"/>
          <w:shd w:val="clear" w:color="auto" w:fill="FFFFFF"/>
          <w:vertAlign w:val="superscript"/>
        </w:rPr>
        <w:t>1)</w:t>
      </w:r>
      <w:r>
        <w:rPr>
          <w:rStyle w:val="normaltextrun"/>
          <w:rFonts w:cstheme="minorHAnsi"/>
          <w:color w:val="000000"/>
          <w:shd w:val="clear" w:color="auto" w:fill="FFFFFF"/>
        </w:rPr>
        <w:t xml:space="preserve"> </w:t>
      </w:r>
      <w:r w:rsidR="003265E1" w:rsidRPr="003265E1">
        <w:rPr>
          <w:rStyle w:val="normaltextrun"/>
          <w:rFonts w:cstheme="minorHAnsi"/>
          <w:color w:val="000000"/>
          <w:shd w:val="clear" w:color="auto" w:fill="FFFFFF"/>
        </w:rPr>
        <w:t xml:space="preserve">Das Johann Heinrich von Thünen-Institut wurde zum 1. Januar 2008 </w:t>
      </w:r>
      <w:r w:rsidR="003265E1">
        <w:rPr>
          <w:rStyle w:val="normaltextrun"/>
          <w:rFonts w:cstheme="minorHAnsi"/>
          <w:color w:val="000000"/>
          <w:shd w:val="clear" w:color="auto" w:fill="FFFFFF"/>
        </w:rPr>
        <w:t>gegründet</w:t>
      </w:r>
      <w:r w:rsidR="004246E3">
        <w:rPr>
          <w:rStyle w:val="normaltextrun"/>
          <w:rFonts w:cstheme="minorHAnsi"/>
          <w:color w:val="000000"/>
          <w:shd w:val="clear" w:color="auto" w:fill="FFFFFF"/>
        </w:rPr>
        <w:t xml:space="preserve"> und </w:t>
      </w:r>
      <w:r w:rsidR="004246E3" w:rsidRPr="003265E1">
        <w:rPr>
          <w:rStyle w:val="normaltextrun"/>
          <w:rFonts w:cstheme="minorHAnsi"/>
          <w:color w:val="000000"/>
          <w:shd w:val="clear" w:color="auto" w:fill="FFFFFF"/>
        </w:rPr>
        <w:t xml:space="preserve">ist eines von vier Bundesforschungsinstituten, die im Zuge </w:t>
      </w:r>
      <w:r w:rsidR="004246E3">
        <w:rPr>
          <w:rStyle w:val="normaltextrun"/>
          <w:rFonts w:cstheme="minorHAnsi"/>
          <w:color w:val="000000"/>
          <w:shd w:val="clear" w:color="auto" w:fill="FFFFFF"/>
        </w:rPr>
        <w:t>einer</w:t>
      </w:r>
      <w:r w:rsidR="004246E3" w:rsidRPr="003265E1">
        <w:rPr>
          <w:rStyle w:val="normaltextrun"/>
          <w:rFonts w:cstheme="minorHAnsi"/>
          <w:color w:val="000000"/>
          <w:shd w:val="clear" w:color="auto" w:fill="FFFFFF"/>
        </w:rPr>
        <w:t xml:space="preserve"> Neustrukturierung des Forschungsbereichs </w:t>
      </w:r>
      <w:r w:rsidR="004246E3">
        <w:rPr>
          <w:rStyle w:val="normaltextrun"/>
          <w:rFonts w:cstheme="minorHAnsi"/>
          <w:color w:val="000000"/>
          <w:shd w:val="clear" w:color="auto" w:fill="FFFFFF"/>
        </w:rPr>
        <w:t xml:space="preserve">des </w:t>
      </w:r>
      <w:r w:rsidR="004246E3" w:rsidRPr="003265E1">
        <w:rPr>
          <w:rStyle w:val="normaltextrun"/>
          <w:rFonts w:cstheme="minorHAnsi"/>
          <w:color w:val="000000"/>
          <w:shd w:val="clear" w:color="auto" w:fill="FFFFFF"/>
        </w:rPr>
        <w:t xml:space="preserve">damaligen </w:t>
      </w:r>
      <w:r w:rsidR="004246E3">
        <w:rPr>
          <w:rStyle w:val="normaltextrun"/>
          <w:rFonts w:cstheme="minorHAnsi"/>
          <w:color w:val="000000"/>
          <w:shd w:val="clear" w:color="auto" w:fill="FFFFFF"/>
        </w:rPr>
        <w:t>Bundesministeriums (BMELV)</w:t>
      </w:r>
      <w:r w:rsidR="004246E3" w:rsidRPr="003265E1">
        <w:rPr>
          <w:rStyle w:val="normaltextrun"/>
          <w:rFonts w:cstheme="minorHAnsi"/>
          <w:color w:val="000000"/>
          <w:shd w:val="clear" w:color="auto" w:fill="FFFFFF"/>
        </w:rPr>
        <w:t xml:space="preserve"> gemäß dem „Konzept für eine zukunftsfähige Ressortforschung im Geschäftsbereich des BMELV“ entstanden</w:t>
      </w:r>
      <w:r w:rsidR="004246E3">
        <w:rPr>
          <w:rStyle w:val="normaltextrun"/>
          <w:rFonts w:cstheme="minorHAnsi"/>
          <w:color w:val="000000"/>
          <w:shd w:val="clear" w:color="auto" w:fill="FFFFFF"/>
        </w:rPr>
        <w:t xml:space="preserve"> sind</w:t>
      </w:r>
      <w:r w:rsidR="003265E1" w:rsidRPr="003265E1">
        <w:rPr>
          <w:rStyle w:val="normaltextrun"/>
          <w:rFonts w:cstheme="minorHAnsi"/>
          <w:color w:val="000000"/>
          <w:shd w:val="clear" w:color="auto" w:fill="FFFFFF"/>
        </w:rPr>
        <w:t xml:space="preserve">. </w:t>
      </w:r>
      <w:r w:rsidR="004246E3" w:rsidRPr="003265E1">
        <w:rPr>
          <w:rStyle w:val="normaltextrun"/>
          <w:rFonts w:cstheme="minorHAnsi"/>
          <w:color w:val="000000"/>
          <w:shd w:val="clear" w:color="auto" w:fill="FFFFFF"/>
        </w:rPr>
        <w:t xml:space="preserve">Das Thünen-Institut </w:t>
      </w:r>
      <w:r w:rsidR="004246E3">
        <w:rPr>
          <w:rStyle w:val="normaltextrun"/>
          <w:rFonts w:cstheme="minorHAnsi"/>
          <w:color w:val="000000"/>
          <w:shd w:val="clear" w:color="auto" w:fill="FFFFFF"/>
        </w:rPr>
        <w:t>ging</w:t>
      </w:r>
      <w:r w:rsidR="004246E3" w:rsidRPr="003265E1">
        <w:rPr>
          <w:rStyle w:val="normaltextrun"/>
          <w:rFonts w:cstheme="minorHAnsi"/>
          <w:color w:val="000000"/>
          <w:shd w:val="clear" w:color="auto" w:fill="FFFFFF"/>
        </w:rPr>
        <w:t xml:space="preserve"> aus drei Bundesforschungsanstalten hervor, die nach dem Zweiten Weltkrieg gegründet w</w:t>
      </w:r>
      <w:r w:rsidR="004246E3">
        <w:rPr>
          <w:rStyle w:val="normaltextrun"/>
          <w:rFonts w:cstheme="minorHAnsi"/>
          <w:color w:val="000000"/>
          <w:shd w:val="clear" w:color="auto" w:fill="FFFFFF"/>
        </w:rPr>
        <w:t>o</w:t>
      </w:r>
      <w:r w:rsidR="004246E3" w:rsidRPr="003265E1">
        <w:rPr>
          <w:rStyle w:val="normaltextrun"/>
          <w:rFonts w:cstheme="minorHAnsi"/>
          <w:color w:val="000000"/>
          <w:shd w:val="clear" w:color="auto" w:fill="FFFFFF"/>
        </w:rPr>
        <w:t>rden</w:t>
      </w:r>
      <w:r w:rsidR="004246E3">
        <w:rPr>
          <w:rStyle w:val="normaltextrun"/>
          <w:rFonts w:cstheme="minorHAnsi"/>
          <w:color w:val="000000"/>
          <w:shd w:val="clear" w:color="auto" w:fill="FFFFFF"/>
        </w:rPr>
        <w:t xml:space="preserve"> waren</w:t>
      </w:r>
      <w:r w:rsidR="004246E3" w:rsidRPr="003265E1">
        <w:rPr>
          <w:rStyle w:val="normaltextrun"/>
          <w:rFonts w:cstheme="minorHAnsi"/>
          <w:color w:val="000000"/>
          <w:shd w:val="clear" w:color="auto" w:fill="FFFFFF"/>
        </w:rPr>
        <w:t>, zum Teil aber noch ältere Wurzeln haben: der Bundesforschungsanstalt für Fischerei (</w:t>
      </w:r>
      <w:proofErr w:type="spellStart"/>
      <w:r w:rsidR="004246E3" w:rsidRPr="003265E1">
        <w:rPr>
          <w:rStyle w:val="normaltextrun"/>
          <w:rFonts w:cstheme="minorHAnsi"/>
          <w:color w:val="000000"/>
          <w:shd w:val="clear" w:color="auto" w:fill="FFFFFF"/>
        </w:rPr>
        <w:t>BFAFi</w:t>
      </w:r>
      <w:proofErr w:type="spellEnd"/>
      <w:r w:rsidR="004246E3" w:rsidRPr="003265E1">
        <w:rPr>
          <w:rStyle w:val="normaltextrun"/>
          <w:rFonts w:cstheme="minorHAnsi"/>
          <w:color w:val="000000"/>
          <w:shd w:val="clear" w:color="auto" w:fill="FFFFFF"/>
        </w:rPr>
        <w:t xml:space="preserve">), der Bundesforschungsanstalt für Forst- und Holzwirtschaft (BFH) sowie </w:t>
      </w:r>
      <w:r w:rsidR="004246E3">
        <w:rPr>
          <w:rStyle w:val="normaltextrun"/>
          <w:rFonts w:cstheme="minorHAnsi"/>
          <w:color w:val="000000"/>
          <w:shd w:val="clear" w:color="auto" w:fill="FFFFFF"/>
        </w:rPr>
        <w:t>weiten</w:t>
      </w:r>
      <w:r w:rsidR="004246E3" w:rsidRPr="003265E1">
        <w:rPr>
          <w:rStyle w:val="normaltextrun"/>
          <w:rFonts w:cstheme="minorHAnsi"/>
          <w:color w:val="000000"/>
          <w:shd w:val="clear" w:color="auto" w:fill="FFFFFF"/>
        </w:rPr>
        <w:t xml:space="preserve"> Teilen der Bundesforschungsanstalt für Landwirtschaft (FAL)</w:t>
      </w:r>
      <w:r w:rsidR="003265E1" w:rsidRPr="003265E1">
        <w:rPr>
          <w:rStyle w:val="normaltextrun"/>
          <w:rFonts w:cstheme="minorHAnsi"/>
          <w:color w:val="000000"/>
          <w:shd w:val="clear" w:color="auto" w:fill="FFFFFF"/>
        </w:rPr>
        <w:t>.</w:t>
      </w:r>
    </w:p>
    <w:p w14:paraId="1FECF08E" w14:textId="4AD4DD6B" w:rsidR="00121D23" w:rsidRDefault="003265E1" w:rsidP="003265E1">
      <w:pPr>
        <w:rPr>
          <w:rFonts w:eastAsia="Times New Roman" w:cstheme="minorHAnsi"/>
          <w:color w:val="333333"/>
          <w:lang w:eastAsia="de-DE"/>
        </w:rPr>
      </w:pPr>
      <w:r w:rsidRPr="003265E1">
        <w:rPr>
          <w:rStyle w:val="normaltextrun"/>
          <w:rFonts w:cstheme="minorHAnsi"/>
          <w:color w:val="000000"/>
          <w:shd w:val="clear" w:color="auto" w:fill="FFFFFF"/>
          <w:vertAlign w:val="superscript"/>
        </w:rPr>
        <w:t>2)</w:t>
      </w:r>
      <w:r>
        <w:rPr>
          <w:rStyle w:val="normaltextrun"/>
          <w:rFonts w:cstheme="minorHAnsi"/>
          <w:color w:val="000000"/>
          <w:shd w:val="clear" w:color="auto" w:fill="FFFFFF"/>
        </w:rPr>
        <w:t xml:space="preserve"> </w:t>
      </w:r>
      <w:r w:rsidR="002A48A5">
        <w:rPr>
          <w:rStyle w:val="normaltextrun"/>
          <w:rFonts w:cstheme="minorHAnsi"/>
          <w:color w:val="000000"/>
          <w:shd w:val="clear" w:color="auto" w:fill="FFFFFF"/>
        </w:rPr>
        <w:t>„</w:t>
      </w:r>
      <w:r w:rsidR="002A48A5" w:rsidRPr="002A48A5">
        <w:rPr>
          <w:rFonts w:eastAsia="Times New Roman" w:cstheme="minorHAnsi"/>
          <w:color w:val="333333"/>
          <w:lang w:eastAsia="de-DE"/>
        </w:rPr>
        <w:t xml:space="preserve">Die Bundeswaldinventur ist ein gesetzlicher Auftrag gemäß Bundeswaldgesetz § 41a und eine zentrale Datenbasis über den Wald in Deutschland. Sie liefert einen Gesamtüberblick über die großräumigen Waldverhältnisse und forstlichen Produktionsmöglichkeiten. Die Inventur wurde </w:t>
      </w:r>
      <w:r w:rsidR="002A48A5" w:rsidRPr="002A48A5">
        <w:rPr>
          <w:rFonts w:eastAsia="Times New Roman" w:cstheme="minorHAnsi"/>
          <w:color w:val="333333"/>
          <w:lang w:eastAsia="de-DE"/>
        </w:rPr>
        <w:lastRenderedPageBreak/>
        <w:t>bisher dreimal durchgeführt: 1987, 2002 und 2012. Die vierte Inventur (2022) wird gegenwärtig vorbereitet. Seit 2010 ist eine Wiederholung alle zehn Jahre gesetzlich festgelegt</w:t>
      </w:r>
      <w:r w:rsidR="002A48A5">
        <w:rPr>
          <w:rFonts w:eastAsia="Times New Roman" w:cstheme="minorHAnsi"/>
          <w:color w:val="333333"/>
          <w:lang w:eastAsia="de-DE"/>
        </w:rPr>
        <w:t>.“ (Zitat von der Website des Thünen-Instituts)</w:t>
      </w:r>
    </w:p>
    <w:p w14:paraId="230A8EF1" w14:textId="70959E1B" w:rsidR="0034776C" w:rsidRDefault="0034776C" w:rsidP="003265E1">
      <w:pPr>
        <w:rPr>
          <w:rStyle w:val="normaltextrun"/>
          <w:rFonts w:cstheme="minorHAnsi"/>
          <w:color w:val="000000"/>
          <w:shd w:val="clear" w:color="auto" w:fill="FFFFFF"/>
        </w:rPr>
      </w:pPr>
      <w:r w:rsidRPr="0034776C">
        <w:rPr>
          <w:rFonts w:eastAsia="Times New Roman" w:cstheme="minorHAnsi"/>
          <w:color w:val="333333"/>
          <w:vertAlign w:val="superscript"/>
          <w:lang w:eastAsia="de-DE"/>
        </w:rPr>
        <w:t>3)</w:t>
      </w:r>
      <w:r>
        <w:rPr>
          <w:rFonts w:eastAsia="Times New Roman" w:cstheme="minorHAnsi"/>
          <w:color w:val="333333"/>
          <w:lang w:eastAsia="de-DE"/>
        </w:rPr>
        <w:t xml:space="preserve"> </w:t>
      </w:r>
      <w:r>
        <w:rPr>
          <w:rFonts w:cstheme="minorHAnsi"/>
          <w:color w:val="333333"/>
        </w:rPr>
        <w:t>D</w:t>
      </w:r>
      <w:r w:rsidRPr="00D05935">
        <w:rPr>
          <w:rFonts w:cstheme="minorHAnsi"/>
          <w:color w:val="333333"/>
        </w:rPr>
        <w:t xml:space="preserve">ie vorgeschriebene Länderspielgröße von Fußballfeldern beträgt 68 </w:t>
      </w:r>
      <w:r w:rsidRPr="00E3454B">
        <w:rPr>
          <w:rFonts w:cstheme="minorHAnsi"/>
          <w:color w:val="333333"/>
          <w:sz w:val="16"/>
          <w:szCs w:val="16"/>
        </w:rPr>
        <w:t>*</w:t>
      </w:r>
      <w:r w:rsidRPr="00D05935">
        <w:rPr>
          <w:rFonts w:cstheme="minorHAnsi"/>
          <w:color w:val="333333"/>
        </w:rPr>
        <w:t xml:space="preserve"> 105 Meter</w:t>
      </w:r>
      <w:r w:rsidR="00A1538F">
        <w:rPr>
          <w:rFonts w:cstheme="minorHAnsi"/>
          <w:color w:val="333333"/>
        </w:rPr>
        <w:t>, das sind</w:t>
      </w:r>
      <w:r w:rsidRPr="00D05935">
        <w:rPr>
          <w:rFonts w:cstheme="minorHAnsi"/>
          <w:color w:val="333333"/>
        </w:rPr>
        <w:t xml:space="preserve"> 7.140 m</w:t>
      </w:r>
      <w:r w:rsidRPr="00D05935">
        <w:rPr>
          <w:rFonts w:cstheme="minorHAnsi"/>
          <w:color w:val="333333"/>
          <w:bdr w:val="none" w:sz="0" w:space="0" w:color="auto" w:frame="1"/>
          <w:vertAlign w:val="superscript"/>
        </w:rPr>
        <w:t>2</w:t>
      </w:r>
      <w:r w:rsidRPr="00D05935">
        <w:rPr>
          <w:rFonts w:cstheme="minorHAnsi"/>
          <w:color w:val="333333"/>
        </w:rPr>
        <w:t>.</w:t>
      </w:r>
    </w:p>
    <w:p w14:paraId="7FDC3735" w14:textId="33C7994B" w:rsidR="00A02E7B" w:rsidRPr="00A02E7B" w:rsidRDefault="00E3454B" w:rsidP="0025022A">
      <w:pPr>
        <w:rPr>
          <w:rStyle w:val="eop"/>
        </w:rPr>
      </w:pPr>
      <w:r>
        <w:rPr>
          <w:rStyle w:val="normaltextrun"/>
          <w:rFonts w:cstheme="minorHAnsi"/>
          <w:color w:val="000000"/>
          <w:shd w:val="clear" w:color="auto" w:fill="FFFFFF"/>
        </w:rPr>
        <w:br/>
      </w:r>
      <w:r w:rsidR="00A02E7B" w:rsidRPr="0C30C933">
        <w:rPr>
          <w:rStyle w:val="normaltextrun"/>
          <w:color w:val="000000"/>
          <w:shd w:val="clear" w:color="auto" w:fill="FFFFFF"/>
        </w:rPr>
        <w:t>Dieser Beitrag ist ein Service des Kampagnenteams der „</w:t>
      </w:r>
      <w:proofErr w:type="spellStart"/>
      <w:r w:rsidR="00A02E7B" w:rsidRPr="0C30C933">
        <w:rPr>
          <w:rStyle w:val="normaltextrun"/>
          <w:color w:val="000000"/>
          <w:shd w:val="clear" w:color="auto" w:fill="FFFFFF"/>
        </w:rPr>
        <w:t>mission</w:t>
      </w:r>
      <w:proofErr w:type="spellEnd"/>
      <w:r w:rsidR="00A02E7B" w:rsidRPr="0C30C933">
        <w:rPr>
          <w:rStyle w:val="normaltextrun"/>
          <w:color w:val="000000"/>
          <w:shd w:val="clear" w:color="auto" w:fill="FFFFFF"/>
        </w:rPr>
        <w:t xml:space="preserve"> E“ in der Landesverwaltung NRW. Auf der </w:t>
      </w:r>
      <w:hyperlink r:id="rId12">
        <w:r w:rsidR="00A02E7B" w:rsidRPr="0C30C933">
          <w:rPr>
            <w:rStyle w:val="Hyperlink"/>
          </w:rPr>
          <w:t>Kampagnen-Website</w:t>
        </w:r>
      </w:hyperlink>
      <w:r w:rsidR="00A02E7B" w:rsidRPr="0C30C933">
        <w:rPr>
          <w:rStyle w:val="normaltextrun"/>
          <w:color w:val="000000"/>
          <w:shd w:val="clear" w:color="auto" w:fill="FFFFFF"/>
        </w:rPr>
        <w:t xml:space="preserve"> finden Sie weitere aktuelle </w:t>
      </w:r>
      <w:hyperlink r:id="rId13" w:history="1">
        <w:r w:rsidR="00A02E7B" w:rsidRPr="0C30C933">
          <w:rPr>
            <w:rStyle w:val="Hyperlink"/>
            <w:shd w:val="clear" w:color="auto" w:fill="FFFFFF"/>
          </w:rPr>
          <w:t>Meldungen zu Energie- und Klimaschutzthemen sowie zur Kampagne</w:t>
        </w:r>
      </w:hyperlink>
      <w:r w:rsidR="00A02E7B" w:rsidRPr="0C30C933">
        <w:rPr>
          <w:rStyle w:val="normaltextrun"/>
          <w:shd w:val="clear" w:color="auto" w:fill="FFFFFF"/>
        </w:rPr>
        <w:t>.</w:t>
      </w:r>
    </w:p>
    <w:p w14:paraId="2DE344A9" w14:textId="07FCE31C" w:rsidR="0D991B84" w:rsidRDefault="0D991B84" w:rsidP="0D991B84">
      <w:pPr>
        <w:pStyle w:val="paragraph"/>
        <w:spacing w:before="0" w:beforeAutospacing="0" w:after="160" w:afterAutospacing="0" w:line="259" w:lineRule="auto"/>
        <w:rPr>
          <w:rStyle w:val="eop"/>
          <w:rFonts w:asciiTheme="minorHAnsi" w:hAnsiTheme="minorHAnsi" w:cstheme="minorBidi"/>
          <w:color w:val="0563C1"/>
          <w:sz w:val="22"/>
          <w:szCs w:val="22"/>
        </w:rPr>
      </w:pPr>
    </w:p>
    <w:p w14:paraId="7B09DDF1" w14:textId="37362746" w:rsidR="008728D4" w:rsidRPr="00576AE0" w:rsidRDefault="008728D4" w:rsidP="00A02E7B">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576AE0">
        <w:rPr>
          <w:rFonts w:asciiTheme="minorHAnsi" w:hAnsiTheme="minorHAnsi" w:cstheme="minorHAnsi"/>
          <w:sz w:val="22"/>
          <w:szCs w:val="22"/>
          <w:lang w:val="en-US"/>
        </w:rPr>
        <w:t xml:space="preserve">Autor: </w:t>
      </w:r>
      <w:r w:rsidR="0092615F" w:rsidRPr="00576AE0">
        <w:rPr>
          <w:rFonts w:asciiTheme="minorHAnsi" w:hAnsiTheme="minorHAnsi" w:cstheme="minorHAnsi"/>
          <w:sz w:val="22"/>
          <w:szCs w:val="22"/>
          <w:lang w:val="en-US"/>
        </w:rPr>
        <w:t>Tom Küster</w:t>
      </w:r>
      <w:r w:rsidR="00634A4D" w:rsidRPr="00576AE0">
        <w:rPr>
          <w:rFonts w:asciiTheme="minorHAnsi" w:hAnsiTheme="minorHAnsi" w:cstheme="minorHAnsi"/>
          <w:sz w:val="22"/>
          <w:szCs w:val="22"/>
          <w:lang w:val="en-US"/>
        </w:rPr>
        <w:t xml:space="preserve"> (NRW.Energy4Climate)</w:t>
      </w:r>
    </w:p>
    <w:p w14:paraId="10EDAE21" w14:textId="4B6F0D1D" w:rsidR="0030637E" w:rsidRDefault="004C4F95" w:rsidP="00A02E7B">
      <w:r w:rsidRPr="008F53CA">
        <w:rPr>
          <w:rFonts w:cstheme="minorHAnsi"/>
        </w:rPr>
        <w:br/>
      </w:r>
      <w:r w:rsidRPr="00A533A7">
        <w:t>Link</w:t>
      </w:r>
      <w:r w:rsidR="001D0C63" w:rsidRPr="00A533A7">
        <w:t>s</w:t>
      </w:r>
    </w:p>
    <w:p w14:paraId="6662C120" w14:textId="1FC224E5" w:rsidR="008917F4" w:rsidRDefault="005A432C" w:rsidP="008728D4">
      <w:hyperlink r:id="rId14" w:history="1">
        <w:r w:rsidR="00121D23" w:rsidRPr="00121D23">
          <w:rPr>
            <w:rStyle w:val="Hyperlink"/>
          </w:rPr>
          <w:t xml:space="preserve">Video </w:t>
        </w:r>
        <w:r w:rsidR="00121D23">
          <w:rPr>
            <w:rStyle w:val="Hyperlink"/>
          </w:rPr>
          <w:t>„Wir packen das!“ des Klimapakt-</w:t>
        </w:r>
        <w:r w:rsidR="00121D23" w:rsidRPr="00121D23">
          <w:rPr>
            <w:rStyle w:val="Hyperlink"/>
          </w:rPr>
          <w:t>Flensbur</w:t>
        </w:r>
        <w:r w:rsidR="00121D23">
          <w:rPr>
            <w:rStyle w:val="Hyperlink"/>
          </w:rPr>
          <w:t>g e.V. auf YouTube</w:t>
        </w:r>
      </w:hyperlink>
    </w:p>
    <w:p w14:paraId="39D0B096" w14:textId="77777777" w:rsidR="003265E1" w:rsidRDefault="005A432C" w:rsidP="003265E1">
      <w:hyperlink r:id="rId15" w:history="1">
        <w:r w:rsidR="003265E1" w:rsidRPr="003265E1">
          <w:rPr>
            <w:rStyle w:val="Hyperlink"/>
          </w:rPr>
          <w:t>Artikel „Bundeswaldinventur“ auf der Website des Thünen-Instituts</w:t>
        </w:r>
      </w:hyperlink>
    </w:p>
    <w:p w14:paraId="477433DB" w14:textId="39EEFD0E" w:rsidR="003265E1" w:rsidRDefault="005A432C" w:rsidP="008728D4">
      <w:hyperlink r:id="rId16" w:history="1">
        <w:r w:rsidR="003265E1" w:rsidRPr="003265E1">
          <w:rPr>
            <w:rStyle w:val="Hyperlink"/>
          </w:rPr>
          <w:t>Artikel „Ergebnisse der dritten Bundeswaldinventur“ vom 14.01.2024 auf der Website des Bundesministeriums für Ernährung und Landwirtschaft</w:t>
        </w:r>
      </w:hyperlink>
    </w:p>
    <w:p w14:paraId="76C6A879" w14:textId="083377AD" w:rsidR="00D42C57" w:rsidRDefault="005A432C" w:rsidP="008728D4">
      <w:hyperlink r:id="rId17" w:history="1">
        <w:r w:rsidR="0025022A" w:rsidRPr="00665337">
          <w:rPr>
            <w:rStyle w:val="Hyperlink"/>
          </w:rPr>
          <w:t>Bild</w:t>
        </w:r>
        <w:r w:rsidR="003265E1" w:rsidRPr="00665337">
          <w:rPr>
            <w:rStyle w:val="Hyperlink"/>
          </w:rPr>
          <w:t xml:space="preserve"> 1</w:t>
        </w:r>
        <w:r w:rsidR="0025022A" w:rsidRPr="00665337">
          <w:rPr>
            <w:rStyle w:val="Hyperlink"/>
          </w:rPr>
          <w:t xml:space="preserve">: </w:t>
        </w:r>
        <w:proofErr w:type="spellStart"/>
        <w:r w:rsidR="003265E1" w:rsidRPr="00665337">
          <w:rPr>
            <w:rStyle w:val="Hyperlink"/>
          </w:rPr>
          <w:t>Pixabay</w:t>
        </w:r>
        <w:proofErr w:type="spellEnd"/>
        <w:r w:rsidR="0025022A" w:rsidRPr="00665337">
          <w:rPr>
            <w:rStyle w:val="Hyperlink"/>
          </w:rPr>
          <w:t>/</w:t>
        </w:r>
        <w:r w:rsidR="00665337" w:rsidRPr="00665337">
          <w:rPr>
            <w:rStyle w:val="Hyperlink"/>
          </w:rPr>
          <w:t>3938030</w:t>
        </w:r>
      </w:hyperlink>
    </w:p>
    <w:p w14:paraId="4CDD6EE0" w14:textId="0B3DD283" w:rsidR="003265E1" w:rsidRDefault="005A432C" w:rsidP="008728D4">
      <w:hyperlink r:id="rId18" w:history="1">
        <w:r w:rsidR="003265E1" w:rsidRPr="00557BDC">
          <w:rPr>
            <w:rStyle w:val="Hyperlink"/>
          </w:rPr>
          <w:t xml:space="preserve">Bild 2: </w:t>
        </w:r>
        <w:proofErr w:type="spellStart"/>
        <w:r w:rsidR="00557BDC" w:rsidRPr="00557BDC">
          <w:rPr>
            <w:rStyle w:val="Hyperlink"/>
          </w:rPr>
          <w:t>Unsplash</w:t>
        </w:r>
        <w:proofErr w:type="spellEnd"/>
        <w:r w:rsidR="00557BDC" w:rsidRPr="00557BDC">
          <w:rPr>
            <w:rStyle w:val="Hyperlink"/>
          </w:rPr>
          <w:t>/</w:t>
        </w:r>
        <w:proofErr w:type="spellStart"/>
        <w:r w:rsidR="00557BDC" w:rsidRPr="00557BDC">
          <w:rPr>
            <w:rStyle w:val="Hyperlink"/>
          </w:rPr>
          <w:t>Kadarius</w:t>
        </w:r>
        <w:proofErr w:type="spellEnd"/>
        <w:r w:rsidR="00557BDC" w:rsidRPr="00557BDC">
          <w:rPr>
            <w:rStyle w:val="Hyperlink"/>
          </w:rPr>
          <w:t xml:space="preserve"> </w:t>
        </w:r>
        <w:proofErr w:type="spellStart"/>
        <w:r w:rsidR="00557BDC" w:rsidRPr="00557BDC">
          <w:rPr>
            <w:rStyle w:val="Hyperlink"/>
          </w:rPr>
          <w:t>Seegars</w:t>
        </w:r>
        <w:proofErr w:type="spellEnd"/>
      </w:hyperlink>
    </w:p>
    <w:p w14:paraId="37FC0083" w14:textId="0A138228" w:rsidR="003265E1" w:rsidRPr="003F48D0" w:rsidRDefault="005A432C" w:rsidP="008728D4">
      <w:pPr>
        <w:rPr>
          <w:rStyle w:val="Hyperlink"/>
          <w:color w:val="auto"/>
        </w:rPr>
      </w:pPr>
      <w:hyperlink r:id="rId19" w:history="1">
        <w:r w:rsidR="003265E1" w:rsidRPr="00A1538F">
          <w:rPr>
            <w:rStyle w:val="Hyperlink"/>
          </w:rPr>
          <w:t xml:space="preserve">Bild 3: </w:t>
        </w:r>
        <w:proofErr w:type="spellStart"/>
        <w:r w:rsidR="003265E1" w:rsidRPr="00A1538F">
          <w:rPr>
            <w:rStyle w:val="Hyperlink"/>
          </w:rPr>
          <w:t>Pixabay</w:t>
        </w:r>
        <w:proofErr w:type="spellEnd"/>
        <w:r w:rsidR="003265E1" w:rsidRPr="00A1538F">
          <w:rPr>
            <w:rStyle w:val="Hyperlink"/>
          </w:rPr>
          <w:t>/</w:t>
        </w:r>
        <w:proofErr w:type="spellStart"/>
        <w:r w:rsidR="00A1538F" w:rsidRPr="00A1538F">
          <w:rPr>
            <w:rStyle w:val="Hyperlink"/>
          </w:rPr>
          <w:t>jplenio</w:t>
        </w:r>
        <w:proofErr w:type="spellEnd"/>
      </w:hyperlink>
    </w:p>
    <w:p w14:paraId="28639926" w14:textId="08A0614F" w:rsidR="001B1E89" w:rsidRPr="002E3D97" w:rsidRDefault="001B1E89" w:rsidP="001B1E89"/>
    <w:sectPr w:rsidR="001B1E89" w:rsidRPr="002E3D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571CE2"/>
    <w:multiLevelType w:val="multilevel"/>
    <w:tmpl w:val="64BA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674CA"/>
    <w:multiLevelType w:val="multilevel"/>
    <w:tmpl w:val="94A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B0DF1"/>
    <w:multiLevelType w:val="hybridMultilevel"/>
    <w:tmpl w:val="1BE6CA9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FF53FBD"/>
    <w:multiLevelType w:val="hybridMultilevel"/>
    <w:tmpl w:val="DCFC3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284556"/>
    <w:multiLevelType w:val="hybridMultilevel"/>
    <w:tmpl w:val="68060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CF3FF0"/>
    <w:multiLevelType w:val="multilevel"/>
    <w:tmpl w:val="487AC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9"/>
  </w:num>
  <w:num w:numId="2" w16cid:durableId="1908374838">
    <w:abstractNumId w:val="6"/>
  </w:num>
  <w:num w:numId="3" w16cid:durableId="1546523705">
    <w:abstractNumId w:val="0"/>
  </w:num>
  <w:num w:numId="4" w16cid:durableId="1288466168">
    <w:abstractNumId w:val="10"/>
  </w:num>
  <w:num w:numId="5" w16cid:durableId="280233509">
    <w:abstractNumId w:val="7"/>
  </w:num>
  <w:num w:numId="6" w16cid:durableId="1315723613">
    <w:abstractNumId w:val="2"/>
  </w:num>
  <w:num w:numId="7" w16cid:durableId="168065428">
    <w:abstractNumId w:val="8"/>
  </w:num>
  <w:num w:numId="8" w16cid:durableId="451478785">
    <w:abstractNumId w:val="1"/>
  </w:num>
  <w:num w:numId="9" w16cid:durableId="292517313">
    <w:abstractNumId w:val="5"/>
  </w:num>
  <w:num w:numId="10" w16cid:durableId="1193105734">
    <w:abstractNumId w:val="3"/>
  </w:num>
  <w:num w:numId="11" w16cid:durableId="14265382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21308"/>
    <w:rsid w:val="000257A1"/>
    <w:rsid w:val="00040DDF"/>
    <w:rsid w:val="0004318D"/>
    <w:rsid w:val="00061E14"/>
    <w:rsid w:val="00064744"/>
    <w:rsid w:val="00081190"/>
    <w:rsid w:val="00083B93"/>
    <w:rsid w:val="00094C79"/>
    <w:rsid w:val="000A271F"/>
    <w:rsid w:val="000A3635"/>
    <w:rsid w:val="000B582E"/>
    <w:rsid w:val="000C455E"/>
    <w:rsid w:val="000C74F3"/>
    <w:rsid w:val="001040ED"/>
    <w:rsid w:val="00121D23"/>
    <w:rsid w:val="0019287D"/>
    <w:rsid w:val="00195A64"/>
    <w:rsid w:val="00195FC1"/>
    <w:rsid w:val="001A0423"/>
    <w:rsid w:val="001B1E89"/>
    <w:rsid w:val="001B60FB"/>
    <w:rsid w:val="001B6CC9"/>
    <w:rsid w:val="001C4D28"/>
    <w:rsid w:val="001D0C63"/>
    <w:rsid w:val="001D1A31"/>
    <w:rsid w:val="001D289C"/>
    <w:rsid w:val="001E01F5"/>
    <w:rsid w:val="00202097"/>
    <w:rsid w:val="00204A24"/>
    <w:rsid w:val="0021772E"/>
    <w:rsid w:val="0023561D"/>
    <w:rsid w:val="00241C70"/>
    <w:rsid w:val="00247AC4"/>
    <w:rsid w:val="0025022A"/>
    <w:rsid w:val="002511DC"/>
    <w:rsid w:val="002612C8"/>
    <w:rsid w:val="00261D5F"/>
    <w:rsid w:val="00262E7B"/>
    <w:rsid w:val="00264DCC"/>
    <w:rsid w:val="00275FDC"/>
    <w:rsid w:val="0028208A"/>
    <w:rsid w:val="00295ABA"/>
    <w:rsid w:val="002A07BD"/>
    <w:rsid w:val="002A48A5"/>
    <w:rsid w:val="002B64EF"/>
    <w:rsid w:val="002C2A2F"/>
    <w:rsid w:val="002C5C46"/>
    <w:rsid w:val="002C6DF9"/>
    <w:rsid w:val="002D0486"/>
    <w:rsid w:val="002D64DD"/>
    <w:rsid w:val="002E3D97"/>
    <w:rsid w:val="002F3480"/>
    <w:rsid w:val="0030637E"/>
    <w:rsid w:val="00325DE9"/>
    <w:rsid w:val="003265E1"/>
    <w:rsid w:val="00340855"/>
    <w:rsid w:val="00344832"/>
    <w:rsid w:val="003457A0"/>
    <w:rsid w:val="0034601D"/>
    <w:rsid w:val="0034776C"/>
    <w:rsid w:val="00383F3F"/>
    <w:rsid w:val="00397035"/>
    <w:rsid w:val="003D4595"/>
    <w:rsid w:val="003F48D0"/>
    <w:rsid w:val="00417352"/>
    <w:rsid w:val="00424066"/>
    <w:rsid w:val="004246E3"/>
    <w:rsid w:val="00424BF0"/>
    <w:rsid w:val="00444575"/>
    <w:rsid w:val="00445CF1"/>
    <w:rsid w:val="00462A2C"/>
    <w:rsid w:val="00474630"/>
    <w:rsid w:val="00476034"/>
    <w:rsid w:val="00477C61"/>
    <w:rsid w:val="004804E1"/>
    <w:rsid w:val="00495BA4"/>
    <w:rsid w:val="004A704B"/>
    <w:rsid w:val="004B061A"/>
    <w:rsid w:val="004C0E7D"/>
    <w:rsid w:val="004C4F95"/>
    <w:rsid w:val="004D64BF"/>
    <w:rsid w:val="004E725A"/>
    <w:rsid w:val="00515F8C"/>
    <w:rsid w:val="00526690"/>
    <w:rsid w:val="00542311"/>
    <w:rsid w:val="00542675"/>
    <w:rsid w:val="005454A1"/>
    <w:rsid w:val="00553B37"/>
    <w:rsid w:val="00557BDC"/>
    <w:rsid w:val="005628ED"/>
    <w:rsid w:val="00576AE0"/>
    <w:rsid w:val="005A432C"/>
    <w:rsid w:val="005A5C8C"/>
    <w:rsid w:val="005B2A4B"/>
    <w:rsid w:val="00611DD3"/>
    <w:rsid w:val="00616E56"/>
    <w:rsid w:val="00617CF3"/>
    <w:rsid w:val="00624139"/>
    <w:rsid w:val="00627524"/>
    <w:rsid w:val="006310C0"/>
    <w:rsid w:val="00633537"/>
    <w:rsid w:val="00634A4D"/>
    <w:rsid w:val="00657689"/>
    <w:rsid w:val="00663099"/>
    <w:rsid w:val="006647F0"/>
    <w:rsid w:val="00665337"/>
    <w:rsid w:val="0067098D"/>
    <w:rsid w:val="006816D4"/>
    <w:rsid w:val="00681C6A"/>
    <w:rsid w:val="00686F00"/>
    <w:rsid w:val="006911DF"/>
    <w:rsid w:val="006A71CE"/>
    <w:rsid w:val="006B5300"/>
    <w:rsid w:val="006D5D8E"/>
    <w:rsid w:val="006F72FD"/>
    <w:rsid w:val="007011DD"/>
    <w:rsid w:val="00717C82"/>
    <w:rsid w:val="00720871"/>
    <w:rsid w:val="00720D80"/>
    <w:rsid w:val="00742BF6"/>
    <w:rsid w:val="007436C6"/>
    <w:rsid w:val="00794CA0"/>
    <w:rsid w:val="00796E8A"/>
    <w:rsid w:val="007D3091"/>
    <w:rsid w:val="007D4E3D"/>
    <w:rsid w:val="007E65F2"/>
    <w:rsid w:val="007F5F67"/>
    <w:rsid w:val="00802B8B"/>
    <w:rsid w:val="0082114C"/>
    <w:rsid w:val="00827D18"/>
    <w:rsid w:val="00833A17"/>
    <w:rsid w:val="00840C05"/>
    <w:rsid w:val="008437DD"/>
    <w:rsid w:val="008728D4"/>
    <w:rsid w:val="00874B0C"/>
    <w:rsid w:val="0088110E"/>
    <w:rsid w:val="008917F4"/>
    <w:rsid w:val="008C3DA9"/>
    <w:rsid w:val="008F018A"/>
    <w:rsid w:val="008F53CA"/>
    <w:rsid w:val="00905A1C"/>
    <w:rsid w:val="00924C81"/>
    <w:rsid w:val="0092527A"/>
    <w:rsid w:val="0092615F"/>
    <w:rsid w:val="00942C3B"/>
    <w:rsid w:val="00946F4E"/>
    <w:rsid w:val="009630FE"/>
    <w:rsid w:val="00970895"/>
    <w:rsid w:val="009751EA"/>
    <w:rsid w:val="009901F5"/>
    <w:rsid w:val="009C55E6"/>
    <w:rsid w:val="009C597F"/>
    <w:rsid w:val="009E0D2D"/>
    <w:rsid w:val="009F00E1"/>
    <w:rsid w:val="009F5AC8"/>
    <w:rsid w:val="00A02E7B"/>
    <w:rsid w:val="00A13E32"/>
    <w:rsid w:val="00A1538F"/>
    <w:rsid w:val="00A21144"/>
    <w:rsid w:val="00A26D1D"/>
    <w:rsid w:val="00A27C1E"/>
    <w:rsid w:val="00A317C0"/>
    <w:rsid w:val="00A533A7"/>
    <w:rsid w:val="00A564E5"/>
    <w:rsid w:val="00A7433B"/>
    <w:rsid w:val="00A82130"/>
    <w:rsid w:val="00A95726"/>
    <w:rsid w:val="00A95C87"/>
    <w:rsid w:val="00A95DFE"/>
    <w:rsid w:val="00AB120B"/>
    <w:rsid w:val="00AC3DBA"/>
    <w:rsid w:val="00AC414F"/>
    <w:rsid w:val="00AF02C2"/>
    <w:rsid w:val="00AF2A31"/>
    <w:rsid w:val="00B00318"/>
    <w:rsid w:val="00B00516"/>
    <w:rsid w:val="00B35DA1"/>
    <w:rsid w:val="00B37904"/>
    <w:rsid w:val="00B454EE"/>
    <w:rsid w:val="00B6140E"/>
    <w:rsid w:val="00B66258"/>
    <w:rsid w:val="00B679AC"/>
    <w:rsid w:val="00B76198"/>
    <w:rsid w:val="00BA7B29"/>
    <w:rsid w:val="00BD2C18"/>
    <w:rsid w:val="00BE0CCC"/>
    <w:rsid w:val="00BE1DC2"/>
    <w:rsid w:val="00BF7AF4"/>
    <w:rsid w:val="00C036C6"/>
    <w:rsid w:val="00C07926"/>
    <w:rsid w:val="00C1225D"/>
    <w:rsid w:val="00C22DD3"/>
    <w:rsid w:val="00C2601C"/>
    <w:rsid w:val="00C44002"/>
    <w:rsid w:val="00C53FBF"/>
    <w:rsid w:val="00C554D9"/>
    <w:rsid w:val="00C7303F"/>
    <w:rsid w:val="00C757D0"/>
    <w:rsid w:val="00C92D32"/>
    <w:rsid w:val="00C93D1D"/>
    <w:rsid w:val="00CB0873"/>
    <w:rsid w:val="00CB4AD4"/>
    <w:rsid w:val="00CC2B75"/>
    <w:rsid w:val="00D001CB"/>
    <w:rsid w:val="00D023DD"/>
    <w:rsid w:val="00D05935"/>
    <w:rsid w:val="00D073E6"/>
    <w:rsid w:val="00D17A56"/>
    <w:rsid w:val="00D42C57"/>
    <w:rsid w:val="00D509AE"/>
    <w:rsid w:val="00D87813"/>
    <w:rsid w:val="00D96BC6"/>
    <w:rsid w:val="00DA0767"/>
    <w:rsid w:val="00DB374E"/>
    <w:rsid w:val="00DC4148"/>
    <w:rsid w:val="00DD76A4"/>
    <w:rsid w:val="00DE5EC9"/>
    <w:rsid w:val="00E21622"/>
    <w:rsid w:val="00E24F4B"/>
    <w:rsid w:val="00E3454B"/>
    <w:rsid w:val="00E34905"/>
    <w:rsid w:val="00E52C06"/>
    <w:rsid w:val="00E64D1F"/>
    <w:rsid w:val="00E70A11"/>
    <w:rsid w:val="00E759C8"/>
    <w:rsid w:val="00E93F9F"/>
    <w:rsid w:val="00E94963"/>
    <w:rsid w:val="00EA6BF3"/>
    <w:rsid w:val="00EC0410"/>
    <w:rsid w:val="00EC2458"/>
    <w:rsid w:val="00F04C4F"/>
    <w:rsid w:val="00F05E9B"/>
    <w:rsid w:val="00F17AF9"/>
    <w:rsid w:val="00F220CE"/>
    <w:rsid w:val="00F25ABE"/>
    <w:rsid w:val="00F31F07"/>
    <w:rsid w:val="00F336FE"/>
    <w:rsid w:val="00F43398"/>
    <w:rsid w:val="00F83A8A"/>
    <w:rsid w:val="00F908E9"/>
    <w:rsid w:val="00FA6961"/>
    <w:rsid w:val="00FB2DFB"/>
    <w:rsid w:val="00FB6C90"/>
    <w:rsid w:val="00FB6F5F"/>
    <w:rsid w:val="00FC2C98"/>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paragraph" w:styleId="StandardWeb">
    <w:name w:val="Normal (Web)"/>
    <w:basedOn w:val="Standard"/>
    <w:uiPriority w:val="99"/>
    <w:semiHidden/>
    <w:unhideWhenUsed/>
    <w:rsid w:val="00F908E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F908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7520">
      <w:bodyDiv w:val="1"/>
      <w:marLeft w:val="0"/>
      <w:marRight w:val="0"/>
      <w:marTop w:val="0"/>
      <w:marBottom w:val="0"/>
      <w:divBdr>
        <w:top w:val="none" w:sz="0" w:space="0" w:color="auto"/>
        <w:left w:val="none" w:sz="0" w:space="0" w:color="auto"/>
        <w:bottom w:val="none" w:sz="0" w:space="0" w:color="auto"/>
        <w:right w:val="none" w:sz="0" w:space="0" w:color="auto"/>
      </w:divBdr>
    </w:div>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 w:id="1124931252">
      <w:bodyDiv w:val="1"/>
      <w:marLeft w:val="0"/>
      <w:marRight w:val="0"/>
      <w:marTop w:val="0"/>
      <w:marBottom w:val="0"/>
      <w:divBdr>
        <w:top w:val="none" w:sz="0" w:space="0" w:color="auto"/>
        <w:left w:val="none" w:sz="0" w:space="0" w:color="auto"/>
        <w:bottom w:val="none" w:sz="0" w:space="0" w:color="auto"/>
        <w:right w:val="none" w:sz="0" w:space="0" w:color="auto"/>
      </w:divBdr>
    </w:div>
    <w:div w:id="208182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nlv-missione.nrw/uebersicht-blogbeitraege" TargetMode="External"/><Relationship Id="rId18" Type="http://schemas.openxmlformats.org/officeDocument/2006/relationships/hyperlink" Target="https://unsplash.com/de/fotos/weisser-karton-auf-braunem-holztisch-DevJkLB3hW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knlv-missione.nrw/" TargetMode="External"/><Relationship Id="rId17" Type="http://schemas.openxmlformats.org/officeDocument/2006/relationships/hyperlink" Target="https://pixabay.com/de/photos/wald-sonnenuntergang-b%C3%A4ume-1950402/" TargetMode="External"/><Relationship Id="rId2" Type="http://schemas.openxmlformats.org/officeDocument/2006/relationships/customXml" Target="../customXml/item2.xml"/><Relationship Id="rId16" Type="http://schemas.openxmlformats.org/officeDocument/2006/relationships/hyperlink" Target="https://www.bmel.de/DE/themen/wald/wald-in-deutschland/bundeswaldinventur.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yperlink" Target="https://www.thuenen.de/de/fachinstitute/waldoekosysteme/projekte/waldmonitoring/projekte-bundeswaldinventur/bundeswaldinventur" TargetMode="External"/><Relationship Id="rId10" Type="http://schemas.openxmlformats.org/officeDocument/2006/relationships/image" Target="media/image2.jpeg"/><Relationship Id="rId19" Type="http://schemas.openxmlformats.org/officeDocument/2006/relationships/hyperlink" Target="https://pixabay.com/de/photos/b%C3%A4ume-moos-wald-sonnenlicht-3294681/" TargetMode="External"/><Relationship Id="rId4" Type="http://schemas.openxmlformats.org/officeDocument/2006/relationships/numbering" Target="numbering.xml"/><Relationship Id="rId9" Type="http://schemas.openxmlformats.org/officeDocument/2006/relationships/hyperlink" Target="https://www.knlv-missione.nrw/blog/energiethemen/co2-emissionsfaktor_strommix-Deutschland_2022" TargetMode="External"/><Relationship Id="rId14" Type="http://schemas.openxmlformats.org/officeDocument/2006/relationships/hyperlink" Target="https://www.youtube.com/watch?v=w6Ti_T61IzY"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Props1.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C4E37-A261-49CA-B549-864CEC113F90}">
  <ds:schemaRefs>
    <ds:schemaRef ds:uri="http://schemas.microsoft.com/sharepoint/v3/contenttype/forms"/>
  </ds:schemaRefs>
</ds:datastoreItem>
</file>

<file path=customXml/itemProps3.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1268</Words>
  <Characters>7992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10</cp:revision>
  <dcterms:created xsi:type="dcterms:W3CDTF">2024-02-21T13:24:00Z</dcterms:created>
  <dcterms:modified xsi:type="dcterms:W3CDTF">2024-02-21T14:13:00Z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